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0338D" w14:textId="68386FE8" w:rsidR="007F43F8" w:rsidRPr="00962E87" w:rsidRDefault="007F43F8" w:rsidP="00227E70">
      <w:pPr>
        <w:pStyle w:val="List2"/>
        <w:numPr>
          <w:ilvl w:val="12"/>
          <w:numId w:val="0"/>
        </w:numPr>
        <w:ind w:left="720" w:firstLine="720"/>
        <w:rPr>
          <w:b/>
        </w:rPr>
      </w:pPr>
      <w:r w:rsidRPr="00962E87">
        <w:rPr>
          <w:b/>
        </w:rPr>
        <w:t>The Two-Piece Wax Bite SCP Registration Technique</w:t>
      </w:r>
    </w:p>
    <w:p w14:paraId="5E469312" w14:textId="5829FA8F" w:rsidR="007F43F8" w:rsidRDefault="007F43F8" w:rsidP="00227E70">
      <w:pPr>
        <w:pStyle w:val="List2"/>
        <w:numPr>
          <w:ilvl w:val="12"/>
          <w:numId w:val="0"/>
        </w:numPr>
        <w:jc w:val="center"/>
        <w:rPr>
          <w:b/>
        </w:rPr>
      </w:pPr>
      <w:r w:rsidRPr="00962E87">
        <w:rPr>
          <w:b/>
        </w:rPr>
        <w:t>(With Deprogramming And No Mandibular Manipulation)</w:t>
      </w:r>
    </w:p>
    <w:p w14:paraId="5484F447" w14:textId="5D7E33A3" w:rsidR="007F43F8" w:rsidRDefault="00793BED" w:rsidP="00227E70">
      <w:pPr>
        <w:pStyle w:val="List2"/>
        <w:numPr>
          <w:ilvl w:val="12"/>
          <w:numId w:val="0"/>
        </w:numPr>
        <w:jc w:val="center"/>
        <w:rPr>
          <w:b/>
        </w:rPr>
      </w:pPr>
      <w:r>
        <w:rPr>
          <w:b/>
        </w:rPr>
        <w:t>Frank E. Cordray DDS, MS</w:t>
      </w:r>
    </w:p>
    <w:p w14:paraId="45923DD1" w14:textId="165A464E" w:rsidR="00793BED" w:rsidRPr="00962E87" w:rsidRDefault="00793BED" w:rsidP="007F43F8">
      <w:pPr>
        <w:pStyle w:val="List2"/>
        <w:numPr>
          <w:ilvl w:val="12"/>
          <w:numId w:val="0"/>
        </w:numPr>
        <w:rPr>
          <w:b/>
        </w:rPr>
      </w:pPr>
      <w:r>
        <w:rPr>
          <w:b/>
        </w:rPr>
        <w:tab/>
      </w:r>
    </w:p>
    <w:p w14:paraId="0B9C205D" w14:textId="7B634E56" w:rsidR="007F43F8" w:rsidRPr="00FD540C" w:rsidRDefault="007F43F8" w:rsidP="00FD540C">
      <w:pPr>
        <w:pStyle w:val="List2"/>
        <w:numPr>
          <w:ilvl w:val="12"/>
          <w:numId w:val="0"/>
        </w:numPr>
        <w:spacing w:line="480" w:lineRule="auto"/>
        <w:ind w:firstLine="360"/>
        <w:rPr>
          <w:color w:val="000000"/>
          <w:sz w:val="20"/>
        </w:rPr>
      </w:pPr>
      <w:r w:rsidRPr="00962E87">
        <w:rPr>
          <w:b/>
        </w:rPr>
        <w:t xml:space="preserve">  </w:t>
      </w:r>
      <w:r>
        <w:rPr>
          <w:sz w:val="20"/>
        </w:rPr>
        <w:t xml:space="preserve">The overall technique is, in part, a clinical application of the findings of numerous investigators, including Lundeen 1972 </w:t>
      </w:r>
      <w:r w:rsidRPr="009525DD">
        <w:rPr>
          <w:b/>
          <w:i/>
          <w:color w:val="FF0000"/>
          <w:sz w:val="20"/>
          <w:vertAlign w:val="superscript"/>
        </w:rPr>
        <w:t>37</w:t>
      </w:r>
      <w:r>
        <w:rPr>
          <w:sz w:val="20"/>
        </w:rPr>
        <w:t xml:space="preserve">, Williamson 1977 </w:t>
      </w:r>
      <w:r w:rsidRPr="009525DD">
        <w:rPr>
          <w:b/>
          <w:i/>
          <w:color w:val="FF0000"/>
          <w:sz w:val="20"/>
          <w:vertAlign w:val="superscript"/>
        </w:rPr>
        <w:t>3</w:t>
      </w:r>
      <w:r>
        <w:rPr>
          <w:sz w:val="20"/>
        </w:rPr>
        <w:t xml:space="preserve">, Huffman 1978 </w:t>
      </w:r>
      <w:r w:rsidRPr="009525DD">
        <w:rPr>
          <w:b/>
          <w:i/>
          <w:color w:val="FF0000"/>
          <w:sz w:val="20"/>
          <w:vertAlign w:val="superscript"/>
        </w:rPr>
        <w:t>4</w:t>
      </w:r>
      <w:r>
        <w:rPr>
          <w:sz w:val="20"/>
        </w:rPr>
        <w:t xml:space="preserve">, Beard and Clayton 1980 </w:t>
      </w:r>
      <w:r w:rsidRPr="009525DD">
        <w:rPr>
          <w:b/>
          <w:i/>
          <w:color w:val="FF0000"/>
          <w:sz w:val="20"/>
          <w:vertAlign w:val="superscript"/>
        </w:rPr>
        <w:t>25</w:t>
      </w:r>
      <w:r>
        <w:rPr>
          <w:sz w:val="20"/>
        </w:rPr>
        <w:t xml:space="preserve">, Teo and Wise 1981 </w:t>
      </w:r>
      <w:r w:rsidRPr="009525DD">
        <w:rPr>
          <w:b/>
          <w:i/>
          <w:color w:val="FF0000"/>
          <w:sz w:val="20"/>
          <w:vertAlign w:val="superscript"/>
        </w:rPr>
        <w:t>38</w:t>
      </w:r>
      <w:r>
        <w:rPr>
          <w:b/>
          <w:sz w:val="20"/>
        </w:rPr>
        <w:t>,</w:t>
      </w:r>
      <w:r>
        <w:rPr>
          <w:b/>
          <w:color w:val="FF0000"/>
          <w:sz w:val="20"/>
        </w:rPr>
        <w:t xml:space="preserve"> </w:t>
      </w:r>
      <w:r>
        <w:rPr>
          <w:sz w:val="20"/>
        </w:rPr>
        <w:t xml:space="preserve">Lucia 1983 </w:t>
      </w:r>
      <w:r w:rsidRPr="009525DD">
        <w:rPr>
          <w:b/>
          <w:i/>
          <w:color w:val="FF0000"/>
          <w:sz w:val="20"/>
          <w:vertAlign w:val="superscript"/>
        </w:rPr>
        <w:t>39</w:t>
      </w:r>
      <w:r>
        <w:rPr>
          <w:b/>
          <w:sz w:val="20"/>
        </w:rPr>
        <w:t xml:space="preserve">, </w:t>
      </w:r>
      <w:r>
        <w:rPr>
          <w:sz w:val="20"/>
        </w:rPr>
        <w:t xml:space="preserve">Girardot 1987 </w:t>
      </w:r>
      <w:r w:rsidRPr="009525DD">
        <w:rPr>
          <w:b/>
          <w:i/>
          <w:color w:val="FF0000"/>
          <w:sz w:val="20"/>
          <w:vertAlign w:val="superscript"/>
        </w:rPr>
        <w:t>15</w:t>
      </w:r>
      <w:r>
        <w:rPr>
          <w:sz w:val="20"/>
        </w:rPr>
        <w:t xml:space="preserve">, Howat, Capp, and Barrett 1991 </w:t>
      </w:r>
      <w:r w:rsidRPr="009525DD">
        <w:rPr>
          <w:b/>
          <w:i/>
          <w:color w:val="FF0000"/>
          <w:sz w:val="20"/>
          <w:vertAlign w:val="superscript"/>
        </w:rPr>
        <w:t>26</w:t>
      </w:r>
      <w:r>
        <w:rPr>
          <w:sz w:val="20"/>
        </w:rPr>
        <w:t>,</w:t>
      </w:r>
      <w:r>
        <w:rPr>
          <w:b/>
          <w:sz w:val="20"/>
        </w:rPr>
        <w:t xml:space="preserve"> </w:t>
      </w:r>
      <w:r>
        <w:rPr>
          <w:sz w:val="20"/>
        </w:rPr>
        <w:t xml:space="preserve">Fenlon and Woeffel 1993 </w:t>
      </w:r>
      <w:r w:rsidRPr="009525DD">
        <w:rPr>
          <w:b/>
          <w:i/>
          <w:color w:val="FF0000"/>
          <w:sz w:val="20"/>
          <w:vertAlign w:val="superscript"/>
        </w:rPr>
        <w:t>40</w:t>
      </w:r>
      <w:r>
        <w:rPr>
          <w:sz w:val="20"/>
        </w:rPr>
        <w:t xml:space="preserve"> , Wood 1994 </w:t>
      </w:r>
      <w:r w:rsidRPr="009525DD">
        <w:rPr>
          <w:b/>
          <w:i/>
          <w:color w:val="FF0000"/>
          <w:sz w:val="20"/>
          <w:vertAlign w:val="superscript"/>
        </w:rPr>
        <w:t>18</w:t>
      </w:r>
      <w:r>
        <w:rPr>
          <w:sz w:val="20"/>
        </w:rPr>
        <w:t xml:space="preserve">, Roth 1995 </w:t>
      </w:r>
      <w:r w:rsidRPr="009525DD">
        <w:rPr>
          <w:b/>
          <w:i/>
          <w:color w:val="FF0000"/>
          <w:sz w:val="20"/>
          <w:vertAlign w:val="superscript"/>
        </w:rPr>
        <w:t>13</w:t>
      </w:r>
      <w:r>
        <w:rPr>
          <w:sz w:val="20"/>
        </w:rPr>
        <w:t>,  Karl and Foley 1999</w:t>
      </w:r>
      <w:r>
        <w:rPr>
          <w:color w:val="FF0000"/>
          <w:sz w:val="20"/>
        </w:rPr>
        <w:t xml:space="preserve"> </w:t>
      </w:r>
      <w:r w:rsidRPr="009525DD">
        <w:rPr>
          <w:b/>
          <w:i/>
          <w:color w:val="FF0000"/>
          <w:sz w:val="20"/>
          <w:vertAlign w:val="superscript"/>
        </w:rPr>
        <w:t>19</w:t>
      </w:r>
      <w:r>
        <w:rPr>
          <w:sz w:val="20"/>
        </w:rPr>
        <w:t xml:space="preserve">, </w:t>
      </w:r>
      <w:r w:rsidR="00FD540C">
        <w:rPr>
          <w:color w:val="000000"/>
          <w:sz w:val="20"/>
        </w:rPr>
        <w:t>Greco and</w:t>
      </w:r>
      <w:r w:rsidR="00FD540C" w:rsidRPr="00FD540C">
        <w:rPr>
          <w:color w:val="000000"/>
          <w:sz w:val="20"/>
        </w:rPr>
        <w:t xml:space="preserve"> Vanarsdall 1999</w:t>
      </w:r>
      <w:r w:rsidR="00FD540C">
        <w:rPr>
          <w:color w:val="000000"/>
          <w:sz w:val="20"/>
        </w:rPr>
        <w:t xml:space="preserve"> </w:t>
      </w:r>
      <w:r w:rsidR="00FD540C">
        <w:rPr>
          <w:b/>
          <w:i/>
          <w:color w:val="FF0000"/>
          <w:sz w:val="20"/>
          <w:vertAlign w:val="superscript"/>
        </w:rPr>
        <w:t>41</w:t>
      </w:r>
      <w:r w:rsidR="00FD540C">
        <w:rPr>
          <w:color w:val="000000"/>
          <w:sz w:val="20"/>
        </w:rPr>
        <w:t xml:space="preserve"> </w:t>
      </w:r>
      <w:r>
        <w:rPr>
          <w:sz w:val="20"/>
        </w:rPr>
        <w:t xml:space="preserve">and Dawson 2007 </w:t>
      </w:r>
      <w:r w:rsidRPr="009525DD">
        <w:rPr>
          <w:b/>
          <w:i/>
          <w:color w:val="FF0000"/>
          <w:sz w:val="20"/>
          <w:vertAlign w:val="superscript"/>
        </w:rPr>
        <w:t>31</w:t>
      </w:r>
      <w:r w:rsidR="00FD540C">
        <w:rPr>
          <w:sz w:val="20"/>
        </w:rPr>
        <w:t>.</w:t>
      </w:r>
      <w:r w:rsidRPr="00021A0E">
        <w:rPr>
          <w:sz w:val="20"/>
        </w:rPr>
        <w:t xml:space="preserve">  The bite registration is taken immediately after neuromuscular deprogramming (relaxation).  A 2-piec</w:t>
      </w:r>
      <w:r w:rsidR="00F21CF6">
        <w:rPr>
          <w:sz w:val="20"/>
        </w:rPr>
        <w:t>e wax registration incoporating</w:t>
      </w:r>
      <w:r w:rsidRPr="00021A0E">
        <w:rPr>
          <w:sz w:val="20"/>
        </w:rPr>
        <w:t xml:space="preserve"> anterior resistanc</w:t>
      </w:r>
      <w:r w:rsidR="00F21CF6">
        <w:rPr>
          <w:sz w:val="20"/>
        </w:rPr>
        <w:t xml:space="preserve">e (a hard anterior stop) </w:t>
      </w:r>
      <w:r w:rsidRPr="00021A0E">
        <w:rPr>
          <w:sz w:val="20"/>
        </w:rPr>
        <w:t>generates activity of the mandibular elev</w:t>
      </w:r>
      <w:r w:rsidR="00F21CF6">
        <w:rPr>
          <w:sz w:val="20"/>
        </w:rPr>
        <w:t>ator muscles and</w:t>
      </w:r>
      <w:r w:rsidRPr="00021A0E">
        <w:rPr>
          <w:sz w:val="20"/>
        </w:rPr>
        <w:t xml:space="preserve"> avoids </w:t>
      </w:r>
      <w:r w:rsidR="00F21CF6">
        <w:rPr>
          <w:sz w:val="20"/>
        </w:rPr>
        <w:t>posterior tooth contact, allowing</w:t>
      </w:r>
      <w:r w:rsidRPr="00021A0E">
        <w:rPr>
          <w:sz w:val="20"/>
        </w:rPr>
        <w:t xml:space="preserve"> </w:t>
      </w:r>
      <w:r w:rsidR="009339BD">
        <w:rPr>
          <w:sz w:val="20"/>
        </w:rPr>
        <w:t xml:space="preserve">condylar seating </w:t>
      </w:r>
      <w:r w:rsidRPr="00021A0E">
        <w:rPr>
          <w:sz w:val="20"/>
        </w:rPr>
        <w:t>in a reproducible musculo-skeletal posit</w:t>
      </w:r>
      <w:r w:rsidR="00F21CF6">
        <w:rPr>
          <w:sz w:val="20"/>
        </w:rPr>
        <w:t>ion without dental interference or deflection</w:t>
      </w:r>
      <w:r w:rsidRPr="00021A0E">
        <w:rPr>
          <w:sz w:val="20"/>
        </w:rPr>
        <w:t>. No attempt is made to direct mandibuar closure or influence positioning of the mandibular condyles.</w:t>
      </w:r>
      <w:r w:rsidRPr="00962E87">
        <w:rPr>
          <w:b/>
        </w:rPr>
        <w:t xml:space="preserve">  </w:t>
      </w:r>
      <w:r>
        <w:tab/>
      </w:r>
      <w:r>
        <w:tab/>
      </w:r>
    </w:p>
    <w:p w14:paraId="7F9237B8" w14:textId="77777777" w:rsidR="007F43F8" w:rsidRPr="00962E87" w:rsidRDefault="007F43F8" w:rsidP="007F43F8">
      <w:bookmarkStart w:id="0" w:name="_GoBack"/>
    </w:p>
    <w:bookmarkEnd w:id="0"/>
    <w:p w14:paraId="378822A2" w14:textId="77777777" w:rsidR="004179F6" w:rsidRDefault="007F43F8" w:rsidP="004179F6">
      <w:r w:rsidRPr="00962E87">
        <w:t xml:space="preserve">The wax bite is taken with Delar Bite Registration Wax (Blue Bite Registration Wax, Delar Corp, </w:t>
      </w:r>
    </w:p>
    <w:p w14:paraId="6FF3F16A" w14:textId="77777777" w:rsidR="004179F6" w:rsidRDefault="004179F6" w:rsidP="004179F6"/>
    <w:p w14:paraId="7C816644" w14:textId="6D01CB52" w:rsidR="004179F6" w:rsidRDefault="007F43F8" w:rsidP="004179F6">
      <w:r w:rsidRPr="00962E87">
        <w:t>Lake Oswego, OR</w:t>
      </w:r>
      <w:r w:rsidR="004179F6">
        <w:t xml:space="preserve">  </w:t>
      </w:r>
      <w:hyperlink r:id="rId6" w:history="1">
        <w:r w:rsidR="000D5FAF" w:rsidRPr="009B171E">
          <w:rPr>
            <w:rStyle w:val="Hyperlink"/>
            <w:rFonts w:ascii="Times" w:eastAsia="Times New Roman" w:hAnsi="Times"/>
            <w:i/>
            <w:iCs/>
            <w:noProof w:val="0"/>
            <w:color w:val="0000FF"/>
          </w:rPr>
          <w:t>www.</w:t>
        </w:r>
        <w:r w:rsidR="000D5FAF" w:rsidRPr="009B171E">
          <w:rPr>
            <w:rStyle w:val="Hyperlink"/>
            <w:rFonts w:ascii="Times" w:eastAsia="Times New Roman" w:hAnsi="Times"/>
            <w:b/>
            <w:bCs/>
            <w:i/>
            <w:iCs/>
            <w:noProof w:val="0"/>
            <w:color w:val="0000FF"/>
          </w:rPr>
          <w:t>delar</w:t>
        </w:r>
        <w:r w:rsidR="000D5FAF" w:rsidRPr="009B171E">
          <w:rPr>
            <w:rStyle w:val="Hyperlink"/>
            <w:rFonts w:ascii="Times" w:eastAsia="Times New Roman" w:hAnsi="Times"/>
            <w:i/>
            <w:iCs/>
            <w:noProof w:val="0"/>
            <w:color w:val="0000FF"/>
          </w:rPr>
          <w:t>.com</w:t>
        </w:r>
      </w:hyperlink>
      <w:r w:rsidR="000D5FAF">
        <w:rPr>
          <w:rFonts w:ascii="Times" w:eastAsia="Times New Roman" w:hAnsi="Times"/>
          <w:i/>
          <w:iCs/>
          <w:noProof w:val="0"/>
        </w:rPr>
        <w:t xml:space="preserve"> </w:t>
      </w:r>
      <w:r w:rsidR="004179F6" w:rsidRPr="004179F6">
        <w:rPr>
          <w:rFonts w:ascii="Times" w:eastAsia="Times New Roman" w:hAnsi="Times"/>
          <w:noProof w:val="0"/>
        </w:rPr>
        <w:t>800.669.7499</w:t>
      </w:r>
      <w:r w:rsidRPr="00962E87">
        <w:t>) within the hinge axis rotati</w:t>
      </w:r>
      <w:r w:rsidR="00B1268B">
        <w:t xml:space="preserve">on phase of closure </w:t>
      </w:r>
    </w:p>
    <w:p w14:paraId="4713627F" w14:textId="77777777" w:rsidR="004179F6" w:rsidRDefault="004179F6" w:rsidP="004179F6"/>
    <w:p w14:paraId="4DB66A5E" w14:textId="77777777" w:rsidR="004179F6" w:rsidRDefault="00B1268B" w:rsidP="004179F6">
      <w:r>
        <w:t>(&lt; 20</w:t>
      </w:r>
      <w:r w:rsidR="007F43F8" w:rsidRPr="00962E87">
        <w:t xml:space="preserve"> mm) and is prepared in two sections.  The anterior section is made by folding over the softened</w:t>
      </w:r>
    </w:p>
    <w:p w14:paraId="3A8641DC" w14:textId="77777777" w:rsidR="004179F6" w:rsidRDefault="004179F6" w:rsidP="004179F6"/>
    <w:p w14:paraId="4B9957D5" w14:textId="6EBE46EC" w:rsidR="004179F6" w:rsidRDefault="007F43F8" w:rsidP="004179F6">
      <w:r w:rsidRPr="00962E87">
        <w:t>wax to form 4 layers (more, in case of anterior open bite).  The antero-posterior dimension of the</w:t>
      </w:r>
    </w:p>
    <w:p w14:paraId="1A64E870" w14:textId="77777777" w:rsidR="004179F6" w:rsidRDefault="004179F6" w:rsidP="004179F6"/>
    <w:p w14:paraId="2C35DF5D" w14:textId="4A77BDEF" w:rsidR="004179F6" w:rsidRDefault="007F43F8" w:rsidP="004179F6">
      <w:r w:rsidRPr="00962E87">
        <w:t>anterior wax section is dictated by the overjet (AP difference in upper to lower incisor teeth</w:t>
      </w:r>
    </w:p>
    <w:p w14:paraId="490CBA29" w14:textId="77777777" w:rsidR="004179F6" w:rsidRDefault="004179F6" w:rsidP="004179F6"/>
    <w:p w14:paraId="14B3C86B" w14:textId="77777777" w:rsidR="004179F6" w:rsidRDefault="007F43F8" w:rsidP="004179F6">
      <w:r w:rsidRPr="00962E87">
        <w:t xml:space="preserve">anteriorly), and the width should include both the upper and lower anterior teeth (cuspid to cuspid). </w:t>
      </w:r>
    </w:p>
    <w:p w14:paraId="1CA3D35F" w14:textId="77777777" w:rsidR="004179F6" w:rsidRDefault="004179F6" w:rsidP="004179F6"/>
    <w:p w14:paraId="53F09989" w14:textId="77777777" w:rsidR="004179F6" w:rsidRDefault="007F43F8" w:rsidP="004179F6">
      <w:r w:rsidRPr="00962E87">
        <w:t xml:space="preserve">The posterior section is two layers thick.  The antero-posterior dimension is trimmed wide enough to </w:t>
      </w:r>
    </w:p>
    <w:p w14:paraId="1A50F2CE" w14:textId="77777777" w:rsidR="004179F6" w:rsidRDefault="004179F6" w:rsidP="004179F6"/>
    <w:p w14:paraId="2E7F7D70" w14:textId="77777777" w:rsidR="004179F6" w:rsidRDefault="007F43F8" w:rsidP="004179F6">
      <w:r w:rsidRPr="00962E87">
        <w:t xml:space="preserve">include the first molar and second premolar teeth, and it does not extend too far buccally to be distorted </w:t>
      </w:r>
    </w:p>
    <w:p w14:paraId="3C846C0C" w14:textId="77777777" w:rsidR="004179F6" w:rsidRDefault="004179F6" w:rsidP="004179F6"/>
    <w:p w14:paraId="277086EE" w14:textId="6BFBF8CB" w:rsidR="007F43F8" w:rsidRPr="004179F6" w:rsidRDefault="007F43F8" w:rsidP="004179F6">
      <w:pPr>
        <w:rPr>
          <w:rFonts w:ascii="Times" w:eastAsia="Times New Roman" w:hAnsi="Times"/>
          <w:noProof w:val="0"/>
        </w:rPr>
      </w:pPr>
      <w:r w:rsidRPr="00962E87">
        <w:t>by the cheek nor too far anteriorly to interfere with the anterior section of wax.</w:t>
      </w:r>
    </w:p>
    <w:p w14:paraId="22F52052" w14:textId="77777777" w:rsidR="007F43F8" w:rsidRPr="00962E87" w:rsidRDefault="007F43F8" w:rsidP="007F43F8">
      <w:pPr>
        <w:pStyle w:val="List2"/>
        <w:numPr>
          <w:ilvl w:val="12"/>
          <w:numId w:val="0"/>
        </w:numPr>
        <w:spacing w:line="480" w:lineRule="auto"/>
        <w:rPr>
          <w:b/>
          <w:sz w:val="20"/>
        </w:rPr>
      </w:pPr>
    </w:p>
    <w:p w14:paraId="30E5A4AF" w14:textId="77777777" w:rsidR="007F43F8" w:rsidRPr="00962E87" w:rsidRDefault="007F43F8" w:rsidP="007F43F8">
      <w:pPr>
        <w:pStyle w:val="List2"/>
        <w:numPr>
          <w:ilvl w:val="12"/>
          <w:numId w:val="0"/>
        </w:numPr>
        <w:spacing w:line="480" w:lineRule="auto"/>
        <w:rPr>
          <w:b/>
          <w:sz w:val="20"/>
        </w:rPr>
      </w:pPr>
      <w:r w:rsidRPr="00962E87">
        <w:rPr>
          <w:b/>
          <w:sz w:val="20"/>
        </w:rPr>
        <w:t>THE PROCEDURE</w:t>
      </w:r>
    </w:p>
    <w:p w14:paraId="74EB9E92" w14:textId="77777777" w:rsidR="007F43F8" w:rsidRPr="00962E87" w:rsidRDefault="007F43F8" w:rsidP="007F43F8">
      <w:pPr>
        <w:pStyle w:val="List2"/>
        <w:numPr>
          <w:ilvl w:val="12"/>
          <w:numId w:val="0"/>
        </w:numPr>
        <w:spacing w:line="480" w:lineRule="auto"/>
        <w:rPr>
          <w:sz w:val="20"/>
        </w:rPr>
      </w:pPr>
      <w:r w:rsidRPr="00962E87">
        <w:rPr>
          <w:sz w:val="20"/>
        </w:rPr>
        <w:t xml:space="preserve">1.     The subject is seated in the dental chair and positioned at a 45-degree angle to the floor.  </w:t>
      </w:r>
    </w:p>
    <w:p w14:paraId="0E2F2E72" w14:textId="77777777" w:rsidR="007F43F8" w:rsidRPr="00962E87" w:rsidRDefault="007F43F8" w:rsidP="007F43F8">
      <w:pPr>
        <w:pStyle w:val="List2"/>
        <w:spacing w:line="480" w:lineRule="auto"/>
        <w:ind w:left="0" w:firstLine="0"/>
        <w:rPr>
          <w:sz w:val="20"/>
        </w:rPr>
      </w:pPr>
      <w:r w:rsidRPr="00962E87">
        <w:rPr>
          <w:sz w:val="20"/>
        </w:rPr>
        <w:t xml:space="preserve">2.     The subject is instructed to bite continually with a moderate pulsating biting force (5 seconds clench, 5 seconds relax) on a wooden tongue depressor for 5 to 10 minutes to modify the neuromuscular engram.  The wax registration of the SCP is taken immediately following deprogramming.  </w:t>
      </w:r>
    </w:p>
    <w:p w14:paraId="43157201" w14:textId="3CC255E8" w:rsidR="007F43F8" w:rsidRPr="00962E87" w:rsidRDefault="007F43F8" w:rsidP="007F43F8">
      <w:pPr>
        <w:pStyle w:val="List2"/>
        <w:numPr>
          <w:ilvl w:val="12"/>
          <w:numId w:val="0"/>
        </w:numPr>
        <w:spacing w:line="480" w:lineRule="auto"/>
        <w:rPr>
          <w:sz w:val="20"/>
        </w:rPr>
      </w:pPr>
      <w:r w:rsidRPr="00962E87">
        <w:rPr>
          <w:sz w:val="20"/>
        </w:rPr>
        <w:t xml:space="preserve">3.     The anterior section of wax (4 thicknesses) is softened in a water bath at 135 degrees Fahrenheit, then placed and held against the maxillary anterior teeth with one hand.  The operator places the thumb </w:t>
      </w:r>
      <w:r w:rsidRPr="00962E87">
        <w:rPr>
          <w:sz w:val="20"/>
        </w:rPr>
        <w:lastRenderedPageBreak/>
        <w:t>of the free hand on the chin while the middle and index fingers lightly contact the angle of the mandible bilaterally. The subject is then instructed to “Lightly close on your back teeth” and is allowed to close without protrusion on a reproducible mandibular arc until approximat</w:t>
      </w:r>
      <w:r w:rsidR="00375B86">
        <w:rPr>
          <w:sz w:val="20"/>
        </w:rPr>
        <w:t>ely 2-3</w:t>
      </w:r>
      <w:r w:rsidRPr="00962E87">
        <w:rPr>
          <w:sz w:val="20"/>
        </w:rPr>
        <w:t xml:space="preserve"> mm of posterior vertical separation/clearance is observed between the upper and lower posterior-most teeth. The subject is instructed to hold this position.  The anterior section of wax is chilled with air, hardened to the point where it can be removed without distortion, and is then removed.  The anterior section is further hardened in ice water and trimmed to allow passive indexing of the mandible into the SCP position.  The subject is NOT permitted to close the teeth together into intercuspation (the ICP) until the registration is completed.  </w:t>
      </w:r>
    </w:p>
    <w:p w14:paraId="28C358BF" w14:textId="77777777" w:rsidR="007F43F8" w:rsidRPr="00962E87" w:rsidRDefault="007F43F8" w:rsidP="007F43F8">
      <w:pPr>
        <w:pStyle w:val="List2"/>
        <w:numPr>
          <w:ilvl w:val="12"/>
          <w:numId w:val="0"/>
        </w:numPr>
        <w:spacing w:line="480" w:lineRule="auto"/>
        <w:rPr>
          <w:sz w:val="20"/>
        </w:rPr>
      </w:pPr>
      <w:r w:rsidRPr="00962E87">
        <w:rPr>
          <w:sz w:val="20"/>
        </w:rPr>
        <w:t>4.      The posterior section (two thicknesses) is heated in the water bath until it is completely soft (would offer no resistance to closure) and then placed on the upper teeth and supported with the fingers on the buccal surfaces.  While holding the posterior section in place, the chilled anterior section is replaced on the upper anterior teeth without contacting the posterior section.  This can be supported with the same hand that is holding the posterior section.</w:t>
      </w:r>
    </w:p>
    <w:p w14:paraId="69305CB1" w14:textId="77777777" w:rsidR="007F43F8" w:rsidRPr="00962E87" w:rsidRDefault="007F43F8" w:rsidP="007F43F8">
      <w:pPr>
        <w:pStyle w:val="List2"/>
        <w:numPr>
          <w:ilvl w:val="12"/>
          <w:numId w:val="0"/>
        </w:numPr>
        <w:spacing w:line="480" w:lineRule="auto"/>
        <w:rPr>
          <w:sz w:val="20"/>
        </w:rPr>
      </w:pPr>
      <w:r w:rsidRPr="00962E87">
        <w:rPr>
          <w:sz w:val="20"/>
        </w:rPr>
        <w:t xml:space="preserve">5.  The mandible is allowed to close into the SCP as above with the free hand.  The lower anterior teeth should index into the hardened anterior section of wax without any (anterior) slide into the indentations.  As the subject closes into the hardened anterior section, he/she is instructed to “close firmly and hold.”  The condyles seat as the subject closes into the hardened anterior stop, and the posterior teeth hinge closed against no resistance.   The posterior section is chilled with air.  When the posterior section has hardened sufficiently to avoid distortion upon removal, both wax sections are removed.  Both sections are further hardened in ice water. </w:t>
      </w:r>
    </w:p>
    <w:p w14:paraId="7F60F32D" w14:textId="77777777" w:rsidR="007F43F8" w:rsidRDefault="007F43F8" w:rsidP="007F43F8">
      <w:pPr>
        <w:pStyle w:val="SOMContent"/>
        <w:rPr>
          <w:sz w:val="20"/>
        </w:rPr>
      </w:pPr>
      <w:r w:rsidRPr="00962E87">
        <w:rPr>
          <w:sz w:val="20"/>
        </w:rPr>
        <w:t>6.     The 2-piece wax record is inspected to ensure the absence of cusp penetration into the wax.  It is</w:t>
      </w:r>
    </w:p>
    <w:p w14:paraId="455DEF5F" w14:textId="77777777" w:rsidR="007F43F8" w:rsidRDefault="007F43F8" w:rsidP="007F43F8">
      <w:pPr>
        <w:pStyle w:val="SOMContent"/>
        <w:rPr>
          <w:sz w:val="20"/>
        </w:rPr>
      </w:pPr>
      <w:r w:rsidRPr="00962E87">
        <w:rPr>
          <w:sz w:val="20"/>
        </w:rPr>
        <w:t xml:space="preserve"> then trimmed with a sharp scalpel blade to the incisal edge for cusp tip indexing when mounting the </w:t>
      </w:r>
    </w:p>
    <w:p w14:paraId="3FB4EA40" w14:textId="77777777" w:rsidR="007F43F8" w:rsidRDefault="007F43F8" w:rsidP="007F43F8">
      <w:pPr>
        <w:pStyle w:val="SOMContent"/>
        <w:rPr>
          <w:sz w:val="20"/>
        </w:rPr>
      </w:pPr>
      <w:r w:rsidRPr="00962E87">
        <w:rPr>
          <w:sz w:val="20"/>
        </w:rPr>
        <w:t>lower dental cast into the SCP.</w:t>
      </w:r>
    </w:p>
    <w:p w14:paraId="1A8B71D1" w14:textId="77777777" w:rsidR="007F43F8" w:rsidRDefault="007F43F8" w:rsidP="007F43F8">
      <w:pPr>
        <w:pStyle w:val="Refhead"/>
        <w:rPr>
          <w:sz w:val="20"/>
          <w:szCs w:val="20"/>
        </w:rPr>
      </w:pPr>
    </w:p>
    <w:p w14:paraId="729A2D39" w14:textId="77777777" w:rsidR="007F43F8" w:rsidRPr="007F43F8" w:rsidRDefault="007F43F8" w:rsidP="007F43F8">
      <w:pPr>
        <w:pStyle w:val="Refhead"/>
        <w:rPr>
          <w:sz w:val="20"/>
          <w:szCs w:val="20"/>
        </w:rPr>
      </w:pPr>
      <w:r w:rsidRPr="007F43F8">
        <w:rPr>
          <w:sz w:val="20"/>
          <w:szCs w:val="20"/>
        </w:rPr>
        <w:t>References</w:t>
      </w:r>
    </w:p>
    <w:p w14:paraId="1FC5DCCB" w14:textId="77777777" w:rsidR="007F43F8" w:rsidRPr="007F43F8" w:rsidRDefault="007F43F8" w:rsidP="007F43F8">
      <w:pPr>
        <w:widowControl w:val="0"/>
        <w:autoSpaceDE w:val="0"/>
        <w:autoSpaceDN w:val="0"/>
        <w:adjustRightInd w:val="0"/>
        <w:rPr>
          <w:rFonts w:ascii="Times" w:hAnsi="Times"/>
          <w:color w:val="419230"/>
          <w:sz w:val="18"/>
          <w:szCs w:val="18"/>
        </w:rPr>
      </w:pPr>
      <w:r w:rsidRPr="007F43F8">
        <w:rPr>
          <w:rFonts w:ascii="Times" w:hAnsi="Times"/>
          <w:color w:val="000006"/>
          <w:sz w:val="18"/>
          <w:szCs w:val="18"/>
        </w:rPr>
        <w:t>1.</w:t>
      </w:r>
      <w:r w:rsidRPr="007F43F8">
        <w:rPr>
          <w:rFonts w:ascii="Times" w:hAnsi="Times"/>
          <w:sz w:val="18"/>
          <w:szCs w:val="18"/>
        </w:rPr>
        <w:t xml:space="preserve"> Hoffman PJ, Silverman SI, Garfinkel L. Comparison of condylar position in centric relation and in centric occlusion in dentulous patients.  </w:t>
      </w:r>
      <w:r w:rsidRPr="007F43F8">
        <w:rPr>
          <w:rFonts w:ascii="Times" w:hAnsi="Times"/>
          <w:i/>
          <w:sz w:val="18"/>
          <w:szCs w:val="18"/>
        </w:rPr>
        <w:t>J Prosth Dent</w:t>
      </w:r>
      <w:r w:rsidRPr="007F43F8">
        <w:rPr>
          <w:rFonts w:ascii="Times" w:hAnsi="Times"/>
          <w:sz w:val="18"/>
          <w:szCs w:val="18"/>
        </w:rPr>
        <w:t xml:space="preserve"> 1973;</w:t>
      </w:r>
      <w:r w:rsidRPr="007F43F8">
        <w:rPr>
          <w:rFonts w:ascii="Times" w:hAnsi="Times"/>
          <w:b/>
          <w:sz w:val="18"/>
          <w:szCs w:val="18"/>
        </w:rPr>
        <w:t>30</w:t>
      </w:r>
      <w:r w:rsidRPr="007F43F8">
        <w:rPr>
          <w:rFonts w:ascii="Times" w:hAnsi="Times"/>
          <w:sz w:val="18"/>
          <w:szCs w:val="18"/>
        </w:rPr>
        <w:t>:582-588.</w:t>
      </w:r>
    </w:p>
    <w:p w14:paraId="04B41F9B" w14:textId="77777777" w:rsidR="007F43F8" w:rsidRPr="007F43F8" w:rsidRDefault="007F43F8" w:rsidP="007F43F8">
      <w:pPr>
        <w:widowControl w:val="0"/>
        <w:autoSpaceDE w:val="0"/>
        <w:autoSpaceDN w:val="0"/>
        <w:adjustRightInd w:val="0"/>
        <w:rPr>
          <w:rFonts w:ascii="Times" w:hAnsi="Times"/>
          <w:color w:val="419230"/>
          <w:sz w:val="18"/>
          <w:szCs w:val="18"/>
        </w:rPr>
      </w:pPr>
    </w:p>
    <w:p w14:paraId="0D2D3835" w14:textId="77777777" w:rsidR="007F43F8" w:rsidRPr="007F43F8" w:rsidRDefault="007F43F8" w:rsidP="007F43F8">
      <w:pPr>
        <w:widowControl w:val="0"/>
        <w:autoSpaceDE w:val="0"/>
        <w:autoSpaceDN w:val="0"/>
        <w:adjustRightInd w:val="0"/>
        <w:rPr>
          <w:rFonts w:ascii="Times" w:hAnsi="Times"/>
          <w:color w:val="000006"/>
          <w:sz w:val="18"/>
          <w:szCs w:val="18"/>
        </w:rPr>
      </w:pPr>
      <w:r w:rsidRPr="007F43F8">
        <w:rPr>
          <w:rFonts w:ascii="Times" w:hAnsi="Times"/>
          <w:color w:val="000006"/>
          <w:sz w:val="18"/>
          <w:szCs w:val="18"/>
        </w:rPr>
        <w:t>2.</w:t>
      </w:r>
      <w:r w:rsidRPr="007F43F8">
        <w:rPr>
          <w:rFonts w:ascii="Times" w:hAnsi="Times"/>
          <w:color w:val="419230"/>
          <w:sz w:val="18"/>
          <w:szCs w:val="18"/>
        </w:rPr>
        <w:t xml:space="preserve"> </w:t>
      </w:r>
      <w:r w:rsidRPr="007F43F8">
        <w:rPr>
          <w:rFonts w:ascii="Times" w:hAnsi="Times"/>
          <w:color w:val="000006"/>
          <w:sz w:val="18"/>
          <w:szCs w:val="18"/>
        </w:rPr>
        <w:t xml:space="preserve">Cordray, FE. Three-dimensional analysis of models articulated in the seated condylar position from a deprogrammed asymptomatic population: a prospective study. Part 1. </w:t>
      </w:r>
      <w:r w:rsidRPr="007F43F8">
        <w:rPr>
          <w:rFonts w:ascii="Times" w:hAnsi="Times"/>
          <w:i/>
          <w:color w:val="000006"/>
          <w:sz w:val="18"/>
          <w:szCs w:val="18"/>
        </w:rPr>
        <w:t>AJO-DO</w:t>
      </w:r>
      <w:r w:rsidRPr="007F43F8">
        <w:rPr>
          <w:rFonts w:ascii="Times" w:hAnsi="Times"/>
          <w:color w:val="000006"/>
          <w:sz w:val="18"/>
          <w:szCs w:val="18"/>
        </w:rPr>
        <w:t xml:space="preserve"> 2006;</w:t>
      </w:r>
      <w:r w:rsidRPr="007F43F8">
        <w:rPr>
          <w:rFonts w:ascii="Times" w:hAnsi="Times"/>
          <w:b/>
          <w:color w:val="000006"/>
          <w:sz w:val="18"/>
          <w:szCs w:val="18"/>
        </w:rPr>
        <w:t>129</w:t>
      </w:r>
      <w:r w:rsidRPr="007F43F8">
        <w:rPr>
          <w:rFonts w:ascii="Times" w:hAnsi="Times"/>
          <w:color w:val="000006"/>
          <w:sz w:val="18"/>
          <w:szCs w:val="18"/>
        </w:rPr>
        <w:t>(5):619-630.</w:t>
      </w:r>
    </w:p>
    <w:p w14:paraId="1AD1F3E4" w14:textId="77777777" w:rsidR="007F43F8" w:rsidRPr="007F43F8" w:rsidRDefault="007F43F8" w:rsidP="007F43F8">
      <w:pPr>
        <w:widowControl w:val="0"/>
        <w:autoSpaceDE w:val="0"/>
        <w:autoSpaceDN w:val="0"/>
        <w:adjustRightInd w:val="0"/>
        <w:rPr>
          <w:rFonts w:ascii="Times" w:hAnsi="Times"/>
          <w:b/>
          <w:color w:val="419230"/>
          <w:sz w:val="18"/>
          <w:szCs w:val="18"/>
        </w:rPr>
      </w:pPr>
    </w:p>
    <w:p w14:paraId="038632DF"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w:t>
      </w:r>
      <w:r w:rsidRPr="007F43F8">
        <w:rPr>
          <w:rFonts w:ascii="Times" w:hAnsi="Times"/>
          <w:sz w:val="18"/>
          <w:szCs w:val="18"/>
        </w:rPr>
        <w:t xml:space="preserve"> Williamson EH, Evans DL, Barton WA, Williams BH. The effect of biteplane use on terminal hinge axis location. </w:t>
      </w:r>
      <w:r w:rsidRPr="007F43F8">
        <w:rPr>
          <w:rFonts w:ascii="Times" w:hAnsi="Times"/>
          <w:i/>
          <w:sz w:val="18"/>
          <w:szCs w:val="18"/>
        </w:rPr>
        <w:t>Angle Orthod</w:t>
      </w:r>
      <w:r w:rsidRPr="007F43F8">
        <w:rPr>
          <w:rFonts w:ascii="Times" w:hAnsi="Times"/>
          <w:sz w:val="18"/>
          <w:szCs w:val="18"/>
        </w:rPr>
        <w:t xml:space="preserve"> 1977;</w:t>
      </w:r>
      <w:r w:rsidRPr="007F43F8">
        <w:rPr>
          <w:rFonts w:ascii="Times" w:hAnsi="Times"/>
          <w:b/>
          <w:sz w:val="18"/>
          <w:szCs w:val="18"/>
        </w:rPr>
        <w:t>47</w:t>
      </w:r>
      <w:r w:rsidRPr="007F43F8">
        <w:rPr>
          <w:rFonts w:ascii="Times" w:hAnsi="Times"/>
          <w:sz w:val="18"/>
          <w:szCs w:val="18"/>
        </w:rPr>
        <w:t>(1):25-33.</w:t>
      </w:r>
    </w:p>
    <w:p w14:paraId="4E5A3B99" w14:textId="77777777" w:rsidR="007F43F8" w:rsidRPr="007F43F8" w:rsidRDefault="007F43F8" w:rsidP="007F43F8">
      <w:pPr>
        <w:widowControl w:val="0"/>
        <w:autoSpaceDE w:val="0"/>
        <w:autoSpaceDN w:val="0"/>
        <w:adjustRightInd w:val="0"/>
        <w:rPr>
          <w:rFonts w:ascii="Times" w:hAnsi="Times"/>
          <w:sz w:val="18"/>
          <w:szCs w:val="18"/>
        </w:rPr>
      </w:pPr>
    </w:p>
    <w:p w14:paraId="76AD4B53" w14:textId="77777777" w:rsidR="007F43F8" w:rsidRPr="007F43F8" w:rsidRDefault="007F43F8" w:rsidP="007F43F8">
      <w:pPr>
        <w:widowControl w:val="0"/>
        <w:autoSpaceDE w:val="0"/>
        <w:autoSpaceDN w:val="0"/>
        <w:adjustRightInd w:val="0"/>
        <w:rPr>
          <w:rFonts w:ascii="Times" w:hAnsi="Times"/>
          <w:b/>
          <w:color w:val="FF0000"/>
          <w:sz w:val="18"/>
          <w:szCs w:val="18"/>
        </w:rPr>
      </w:pPr>
      <w:r w:rsidRPr="007F43F8">
        <w:rPr>
          <w:rFonts w:ascii="Times" w:hAnsi="Times"/>
          <w:color w:val="000006"/>
          <w:sz w:val="18"/>
          <w:szCs w:val="18"/>
        </w:rPr>
        <w:t>4.</w:t>
      </w:r>
      <w:r w:rsidRPr="007F43F8">
        <w:rPr>
          <w:rFonts w:ascii="Times" w:hAnsi="Times"/>
          <w:b/>
          <w:color w:val="419230"/>
          <w:sz w:val="18"/>
          <w:szCs w:val="18"/>
        </w:rPr>
        <w:t xml:space="preserve"> </w:t>
      </w:r>
      <w:r w:rsidRPr="007F43F8">
        <w:rPr>
          <w:rFonts w:ascii="Times" w:hAnsi="Times"/>
          <w:sz w:val="18"/>
          <w:szCs w:val="18"/>
        </w:rPr>
        <w:t xml:space="preserve">Huffman RW, Regenos JW. </w:t>
      </w:r>
      <w:r w:rsidRPr="007F43F8">
        <w:rPr>
          <w:rFonts w:ascii="Times" w:hAnsi="Times"/>
          <w:i/>
          <w:sz w:val="18"/>
          <w:szCs w:val="18"/>
        </w:rPr>
        <w:t>Principles of Occlusion</w:t>
      </w:r>
      <w:r w:rsidRPr="007F43F8">
        <w:rPr>
          <w:rFonts w:ascii="Times" w:hAnsi="Times"/>
          <w:sz w:val="18"/>
          <w:szCs w:val="18"/>
        </w:rPr>
        <w:t xml:space="preserve">. Columbus, OH: Hand R Press;1978,I-A-6-12,22,I-B-10-12. </w:t>
      </w:r>
      <w:r w:rsidRPr="007F43F8">
        <w:rPr>
          <w:rFonts w:ascii="Times" w:hAnsi="Times"/>
          <w:b/>
          <w:color w:val="FF0000"/>
          <w:sz w:val="18"/>
          <w:szCs w:val="18"/>
        </w:rPr>
        <w:t xml:space="preserve"> </w:t>
      </w:r>
    </w:p>
    <w:p w14:paraId="712F9AD2" w14:textId="77777777" w:rsidR="007F43F8" w:rsidRPr="007F43F8" w:rsidRDefault="007F43F8" w:rsidP="007F43F8">
      <w:pPr>
        <w:widowControl w:val="0"/>
        <w:autoSpaceDE w:val="0"/>
        <w:autoSpaceDN w:val="0"/>
        <w:adjustRightInd w:val="0"/>
        <w:rPr>
          <w:rFonts w:ascii="Times" w:hAnsi="Times"/>
          <w:sz w:val="18"/>
          <w:szCs w:val="18"/>
        </w:rPr>
      </w:pPr>
    </w:p>
    <w:p w14:paraId="4A536B3E"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5.</w:t>
      </w:r>
      <w:r w:rsidRPr="007F43F8">
        <w:rPr>
          <w:rFonts w:ascii="Times" w:hAnsi="Times"/>
          <w:color w:val="FF0000"/>
          <w:sz w:val="18"/>
          <w:szCs w:val="18"/>
        </w:rPr>
        <w:t xml:space="preserve"> </w:t>
      </w:r>
      <w:r w:rsidRPr="007F43F8">
        <w:rPr>
          <w:rFonts w:ascii="Times" w:hAnsi="Times"/>
          <w:sz w:val="18"/>
          <w:szCs w:val="18"/>
        </w:rPr>
        <w:t xml:space="preserve">Rosner D. Hinge axis translation from retruded contact position to intercuspal position in dentulous subjects in treatment. </w:t>
      </w:r>
      <w:r w:rsidRPr="007F43F8">
        <w:rPr>
          <w:rFonts w:ascii="Times" w:hAnsi="Times"/>
          <w:i/>
          <w:sz w:val="18"/>
          <w:szCs w:val="18"/>
        </w:rPr>
        <w:t>J Prosth Dent</w:t>
      </w:r>
      <w:r w:rsidRPr="007F43F8">
        <w:rPr>
          <w:rFonts w:ascii="Times" w:hAnsi="Times"/>
          <w:sz w:val="18"/>
          <w:szCs w:val="18"/>
        </w:rPr>
        <w:t xml:space="preserve"> 1982;</w:t>
      </w:r>
      <w:r w:rsidRPr="007F43F8">
        <w:rPr>
          <w:rFonts w:ascii="Times" w:hAnsi="Times"/>
          <w:b/>
          <w:sz w:val="18"/>
          <w:szCs w:val="18"/>
        </w:rPr>
        <w:t>48</w:t>
      </w:r>
      <w:r w:rsidRPr="007F43F8">
        <w:rPr>
          <w:rFonts w:ascii="Times" w:hAnsi="Times"/>
          <w:sz w:val="18"/>
          <w:szCs w:val="18"/>
        </w:rPr>
        <w:t>(6):713-718.</w:t>
      </w:r>
    </w:p>
    <w:p w14:paraId="7D45F439" w14:textId="77777777" w:rsidR="007F43F8" w:rsidRPr="007F43F8" w:rsidRDefault="007F43F8" w:rsidP="007F43F8">
      <w:pPr>
        <w:widowControl w:val="0"/>
        <w:autoSpaceDE w:val="0"/>
        <w:autoSpaceDN w:val="0"/>
        <w:adjustRightInd w:val="0"/>
        <w:rPr>
          <w:rFonts w:ascii="Times" w:hAnsi="Times"/>
          <w:sz w:val="18"/>
          <w:szCs w:val="18"/>
        </w:rPr>
      </w:pPr>
    </w:p>
    <w:p w14:paraId="7FB73294"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sz w:val="18"/>
          <w:szCs w:val="18"/>
        </w:rPr>
        <w:t>6</w:t>
      </w:r>
      <w:r w:rsidRPr="007F43F8">
        <w:rPr>
          <w:rFonts w:ascii="Times" w:hAnsi="Times"/>
          <w:b/>
          <w:color w:val="419230"/>
          <w:sz w:val="18"/>
          <w:szCs w:val="18"/>
        </w:rPr>
        <w:t xml:space="preserve">.  </w:t>
      </w:r>
      <w:r w:rsidRPr="007F43F8">
        <w:rPr>
          <w:rFonts w:ascii="Times" w:hAnsi="Times"/>
          <w:sz w:val="18"/>
          <w:szCs w:val="18"/>
        </w:rPr>
        <w:t xml:space="preserve">Rosner D, Goldberg GF.  Condylar retruded contact position and intercuspal position and correlation in dentulous patients.  Part 1: Three-dimensional analysis of condylar registrations. </w:t>
      </w:r>
      <w:r w:rsidRPr="007F43F8">
        <w:rPr>
          <w:rFonts w:ascii="Times" w:hAnsi="Times"/>
          <w:i/>
          <w:sz w:val="18"/>
          <w:szCs w:val="18"/>
        </w:rPr>
        <w:t>J Prosth Dent</w:t>
      </w:r>
      <w:r w:rsidRPr="007F43F8">
        <w:rPr>
          <w:rFonts w:ascii="Times" w:hAnsi="Times"/>
          <w:sz w:val="18"/>
          <w:szCs w:val="18"/>
        </w:rPr>
        <w:t xml:space="preserve"> 1986;</w:t>
      </w:r>
      <w:r w:rsidRPr="007F43F8">
        <w:rPr>
          <w:rFonts w:ascii="Times" w:hAnsi="Times"/>
          <w:b/>
          <w:sz w:val="18"/>
          <w:szCs w:val="18"/>
        </w:rPr>
        <w:t>56</w:t>
      </w:r>
      <w:r w:rsidRPr="007F43F8">
        <w:rPr>
          <w:rFonts w:ascii="Times" w:hAnsi="Times"/>
          <w:sz w:val="18"/>
          <w:szCs w:val="18"/>
        </w:rPr>
        <w:t>:230.</w:t>
      </w:r>
    </w:p>
    <w:p w14:paraId="321C4BFB" w14:textId="77777777" w:rsidR="007F43F8" w:rsidRPr="007F43F8" w:rsidRDefault="007F43F8" w:rsidP="007F43F8">
      <w:pPr>
        <w:widowControl w:val="0"/>
        <w:autoSpaceDE w:val="0"/>
        <w:autoSpaceDN w:val="0"/>
        <w:adjustRightInd w:val="0"/>
        <w:rPr>
          <w:rFonts w:ascii="Times" w:hAnsi="Times"/>
          <w:sz w:val="18"/>
          <w:szCs w:val="18"/>
        </w:rPr>
      </w:pPr>
    </w:p>
    <w:p w14:paraId="029BAB89"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7.</w:t>
      </w:r>
      <w:r w:rsidRPr="007F43F8">
        <w:rPr>
          <w:rFonts w:ascii="Times" w:hAnsi="Times"/>
          <w:b/>
          <w:color w:val="FF0000"/>
          <w:sz w:val="18"/>
          <w:szCs w:val="18"/>
        </w:rPr>
        <w:t xml:space="preserve"> </w:t>
      </w:r>
      <w:r w:rsidRPr="007F43F8">
        <w:rPr>
          <w:rFonts w:ascii="Times" w:hAnsi="Times"/>
          <w:sz w:val="18"/>
          <w:szCs w:val="18"/>
        </w:rPr>
        <w:t xml:space="preserve">Rosner D, Goldberg GF. Condylar retruded contact position and intercuspal position in dentulous  patients. Part II: Patients classified by anamnestic questionnaire. </w:t>
      </w:r>
      <w:r w:rsidRPr="007F43F8">
        <w:rPr>
          <w:rFonts w:ascii="Times" w:hAnsi="Times"/>
          <w:i/>
          <w:sz w:val="18"/>
          <w:szCs w:val="18"/>
        </w:rPr>
        <w:t>J Prosth Dent</w:t>
      </w:r>
      <w:r w:rsidRPr="007F43F8">
        <w:rPr>
          <w:rFonts w:ascii="Times" w:hAnsi="Times"/>
          <w:sz w:val="18"/>
          <w:szCs w:val="18"/>
        </w:rPr>
        <w:t xml:space="preserve"> 1986;</w:t>
      </w:r>
      <w:r w:rsidRPr="007F43F8">
        <w:rPr>
          <w:rFonts w:ascii="Times" w:hAnsi="Times"/>
          <w:b/>
          <w:sz w:val="18"/>
          <w:szCs w:val="18"/>
        </w:rPr>
        <w:t>56</w:t>
      </w:r>
      <w:r w:rsidRPr="007F43F8">
        <w:rPr>
          <w:rFonts w:ascii="Times" w:hAnsi="Times"/>
          <w:sz w:val="18"/>
          <w:szCs w:val="18"/>
        </w:rPr>
        <w:t>(3):359-368.</w:t>
      </w:r>
    </w:p>
    <w:p w14:paraId="291067F5" w14:textId="77777777" w:rsidR="007F43F8" w:rsidRPr="007F43F8" w:rsidRDefault="007F43F8" w:rsidP="007F43F8">
      <w:pPr>
        <w:widowControl w:val="0"/>
        <w:autoSpaceDE w:val="0"/>
        <w:autoSpaceDN w:val="0"/>
        <w:adjustRightInd w:val="0"/>
        <w:rPr>
          <w:rFonts w:ascii="Times" w:hAnsi="Times"/>
          <w:sz w:val="18"/>
          <w:szCs w:val="18"/>
        </w:rPr>
      </w:pPr>
    </w:p>
    <w:p w14:paraId="7570FCE4" w14:textId="77777777" w:rsidR="007F43F8" w:rsidRPr="007F43F8" w:rsidRDefault="007F43F8" w:rsidP="007F43F8">
      <w:pPr>
        <w:widowControl w:val="0"/>
        <w:tabs>
          <w:tab w:val="left" w:pos="990"/>
        </w:tabs>
        <w:autoSpaceDE w:val="0"/>
        <w:autoSpaceDN w:val="0"/>
        <w:adjustRightInd w:val="0"/>
        <w:rPr>
          <w:rFonts w:ascii="Times" w:hAnsi="Times"/>
          <w:sz w:val="18"/>
          <w:szCs w:val="18"/>
        </w:rPr>
      </w:pPr>
      <w:r w:rsidRPr="007F43F8">
        <w:rPr>
          <w:rFonts w:ascii="Times" w:hAnsi="Times"/>
          <w:color w:val="000006"/>
          <w:sz w:val="18"/>
          <w:szCs w:val="18"/>
        </w:rPr>
        <w:t>8.</w:t>
      </w:r>
      <w:r w:rsidRPr="007F43F8">
        <w:rPr>
          <w:rFonts w:ascii="Times" w:hAnsi="Times"/>
          <w:b/>
          <w:color w:val="FF0000"/>
          <w:sz w:val="18"/>
          <w:szCs w:val="18"/>
        </w:rPr>
        <w:t xml:space="preserve"> </w:t>
      </w:r>
      <w:r w:rsidRPr="007F43F8">
        <w:rPr>
          <w:rFonts w:ascii="Times" w:hAnsi="Times"/>
          <w:sz w:val="18"/>
          <w:szCs w:val="18"/>
        </w:rPr>
        <w:t xml:space="preserve">Cacchiotti DA, Bianchi P, McNeill C, Plesh O. Use of the Mandibular position indicator in TMJ disorder diagnosis.  </w:t>
      </w:r>
      <w:r w:rsidRPr="007F43F8">
        <w:rPr>
          <w:rFonts w:ascii="Times" w:hAnsi="Times"/>
          <w:i/>
          <w:sz w:val="18"/>
          <w:szCs w:val="18"/>
        </w:rPr>
        <w:t>J Dent Res</w:t>
      </w:r>
      <w:r w:rsidRPr="007F43F8">
        <w:rPr>
          <w:rFonts w:ascii="Times" w:hAnsi="Times"/>
          <w:sz w:val="18"/>
          <w:szCs w:val="18"/>
        </w:rPr>
        <w:t xml:space="preserve"> 1989;</w:t>
      </w:r>
      <w:r w:rsidRPr="007F43F8">
        <w:rPr>
          <w:rFonts w:ascii="Times" w:hAnsi="Times"/>
          <w:b/>
          <w:sz w:val="18"/>
          <w:szCs w:val="18"/>
        </w:rPr>
        <w:t>68</w:t>
      </w:r>
      <w:r w:rsidRPr="007F43F8">
        <w:rPr>
          <w:rFonts w:ascii="Times" w:hAnsi="Times"/>
          <w:sz w:val="18"/>
          <w:szCs w:val="18"/>
        </w:rPr>
        <w:t xml:space="preserve"> (Special Issue):391.</w:t>
      </w:r>
    </w:p>
    <w:p w14:paraId="0AA2B456" w14:textId="77777777" w:rsidR="007F43F8" w:rsidRPr="007F43F8" w:rsidRDefault="007F43F8" w:rsidP="007F43F8">
      <w:pPr>
        <w:widowControl w:val="0"/>
        <w:autoSpaceDE w:val="0"/>
        <w:autoSpaceDN w:val="0"/>
        <w:adjustRightInd w:val="0"/>
        <w:rPr>
          <w:rFonts w:ascii="Times" w:hAnsi="Times"/>
          <w:sz w:val="18"/>
          <w:szCs w:val="18"/>
        </w:rPr>
      </w:pPr>
    </w:p>
    <w:p w14:paraId="1EED0450"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9.</w:t>
      </w:r>
      <w:r w:rsidRPr="007F43F8">
        <w:rPr>
          <w:rFonts w:ascii="Times" w:hAnsi="Times"/>
          <w:b/>
          <w:color w:val="FF0000"/>
          <w:sz w:val="18"/>
          <w:szCs w:val="18"/>
        </w:rPr>
        <w:t xml:space="preserve"> </w:t>
      </w:r>
      <w:r w:rsidRPr="007F43F8">
        <w:rPr>
          <w:rFonts w:ascii="Times" w:hAnsi="Times"/>
          <w:sz w:val="18"/>
          <w:szCs w:val="18"/>
        </w:rPr>
        <w:t xml:space="preserve">Wood DP, Korne PH.  Estimated and true hinge axis: A comparison of condylar displacements. </w:t>
      </w:r>
      <w:r w:rsidRPr="007F43F8">
        <w:rPr>
          <w:rFonts w:ascii="Times" w:hAnsi="Times"/>
          <w:i/>
          <w:sz w:val="18"/>
          <w:szCs w:val="18"/>
        </w:rPr>
        <w:t>Angle Orthod</w:t>
      </w:r>
      <w:r w:rsidRPr="007F43F8">
        <w:rPr>
          <w:rFonts w:ascii="Times" w:hAnsi="Times"/>
          <w:sz w:val="18"/>
          <w:szCs w:val="18"/>
        </w:rPr>
        <w:t xml:space="preserve"> 1992;</w:t>
      </w:r>
      <w:r w:rsidRPr="007F43F8">
        <w:rPr>
          <w:rFonts w:ascii="Times" w:hAnsi="Times"/>
          <w:b/>
          <w:sz w:val="18"/>
          <w:szCs w:val="18"/>
        </w:rPr>
        <w:t>62</w:t>
      </w:r>
      <w:r w:rsidRPr="007F43F8">
        <w:rPr>
          <w:rFonts w:ascii="Times" w:hAnsi="Times"/>
          <w:sz w:val="18"/>
          <w:szCs w:val="18"/>
        </w:rPr>
        <w:t>:167-175.</w:t>
      </w:r>
    </w:p>
    <w:p w14:paraId="05CB25F7" w14:textId="77777777" w:rsidR="007F43F8" w:rsidRPr="007F43F8" w:rsidRDefault="007F43F8" w:rsidP="007F43F8">
      <w:pPr>
        <w:widowControl w:val="0"/>
        <w:autoSpaceDE w:val="0"/>
        <w:autoSpaceDN w:val="0"/>
        <w:adjustRightInd w:val="0"/>
        <w:rPr>
          <w:rFonts w:ascii="Times" w:hAnsi="Times"/>
          <w:sz w:val="18"/>
          <w:szCs w:val="18"/>
        </w:rPr>
      </w:pPr>
    </w:p>
    <w:p w14:paraId="5D7C3159"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10.</w:t>
      </w:r>
      <w:r w:rsidRPr="007F43F8">
        <w:rPr>
          <w:rFonts w:ascii="Times" w:hAnsi="Times"/>
          <w:b/>
          <w:color w:val="FF0000"/>
          <w:sz w:val="18"/>
          <w:szCs w:val="18"/>
        </w:rPr>
        <w:t xml:space="preserve"> </w:t>
      </w:r>
      <w:r w:rsidRPr="007F43F8">
        <w:rPr>
          <w:rFonts w:ascii="Times" w:hAnsi="Times"/>
          <w:sz w:val="18"/>
          <w:szCs w:val="18"/>
        </w:rPr>
        <w:t xml:space="preserve">Alexander SR, Moore RN, Dubois LM. Mandibular condyle position: Comparison of articulator mountings and magnetic resonance imaging.  </w:t>
      </w:r>
      <w:r w:rsidRPr="007F43F8">
        <w:rPr>
          <w:rFonts w:ascii="Times" w:hAnsi="Times"/>
          <w:i/>
          <w:sz w:val="18"/>
          <w:szCs w:val="18"/>
        </w:rPr>
        <w:t>AJO-DO</w:t>
      </w:r>
      <w:r w:rsidRPr="007F43F8">
        <w:rPr>
          <w:rFonts w:ascii="Times" w:hAnsi="Times"/>
          <w:sz w:val="18"/>
          <w:szCs w:val="18"/>
        </w:rPr>
        <w:t xml:space="preserve"> 1993;</w:t>
      </w:r>
      <w:r w:rsidRPr="007F43F8">
        <w:rPr>
          <w:rFonts w:ascii="Times" w:hAnsi="Times"/>
          <w:b/>
          <w:sz w:val="18"/>
          <w:szCs w:val="18"/>
        </w:rPr>
        <w:t>104</w:t>
      </w:r>
      <w:r w:rsidRPr="007F43F8">
        <w:rPr>
          <w:rFonts w:ascii="Times" w:hAnsi="Times"/>
          <w:sz w:val="18"/>
          <w:szCs w:val="18"/>
        </w:rPr>
        <w:t xml:space="preserve">:230-239.  </w:t>
      </w:r>
    </w:p>
    <w:p w14:paraId="007DFB27" w14:textId="77777777" w:rsidR="007F43F8" w:rsidRPr="007F43F8" w:rsidRDefault="007F43F8" w:rsidP="007F43F8">
      <w:pPr>
        <w:widowControl w:val="0"/>
        <w:autoSpaceDE w:val="0"/>
        <w:autoSpaceDN w:val="0"/>
        <w:adjustRightInd w:val="0"/>
        <w:rPr>
          <w:rFonts w:ascii="Times" w:hAnsi="Times"/>
          <w:sz w:val="18"/>
          <w:szCs w:val="18"/>
        </w:rPr>
      </w:pPr>
    </w:p>
    <w:p w14:paraId="7C18B625"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11.</w:t>
      </w:r>
      <w:r w:rsidRPr="007F43F8">
        <w:rPr>
          <w:rFonts w:ascii="Times" w:hAnsi="Times"/>
          <w:sz w:val="18"/>
          <w:szCs w:val="18"/>
        </w:rPr>
        <w:t xml:space="preserve"> Shildkraut M, Wood DP, Hunter WS. The CR-CO discrepancy and its effect on cephalometric measurements. </w:t>
      </w:r>
      <w:r w:rsidRPr="007F43F8">
        <w:rPr>
          <w:rFonts w:ascii="Times" w:hAnsi="Times"/>
          <w:i/>
          <w:sz w:val="18"/>
          <w:szCs w:val="18"/>
        </w:rPr>
        <w:t>Angle Orthod</w:t>
      </w:r>
      <w:r w:rsidRPr="007F43F8">
        <w:rPr>
          <w:rFonts w:ascii="Times" w:hAnsi="Times"/>
          <w:sz w:val="18"/>
          <w:szCs w:val="18"/>
        </w:rPr>
        <w:t xml:space="preserve"> 1994;</w:t>
      </w:r>
      <w:r w:rsidRPr="007F43F8">
        <w:rPr>
          <w:rFonts w:ascii="Times" w:hAnsi="Times"/>
          <w:b/>
          <w:sz w:val="18"/>
          <w:szCs w:val="18"/>
        </w:rPr>
        <w:t>64</w:t>
      </w:r>
      <w:r w:rsidRPr="007F43F8">
        <w:rPr>
          <w:rFonts w:ascii="Times" w:hAnsi="Times"/>
          <w:sz w:val="18"/>
          <w:szCs w:val="18"/>
        </w:rPr>
        <w:t>(5):333-342.</w:t>
      </w:r>
    </w:p>
    <w:p w14:paraId="5B10A55F" w14:textId="77777777" w:rsidR="007F43F8" w:rsidRPr="007F43F8" w:rsidRDefault="007F43F8" w:rsidP="007F43F8">
      <w:pPr>
        <w:widowControl w:val="0"/>
        <w:autoSpaceDE w:val="0"/>
        <w:autoSpaceDN w:val="0"/>
        <w:adjustRightInd w:val="0"/>
        <w:rPr>
          <w:rFonts w:ascii="Times" w:hAnsi="Times"/>
          <w:sz w:val="18"/>
          <w:szCs w:val="18"/>
        </w:rPr>
      </w:pPr>
    </w:p>
    <w:p w14:paraId="28A52387"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12.</w:t>
      </w:r>
      <w:r w:rsidRPr="007F43F8">
        <w:rPr>
          <w:rFonts w:ascii="Times" w:hAnsi="Times"/>
          <w:b/>
          <w:color w:val="FF0000"/>
          <w:sz w:val="18"/>
          <w:szCs w:val="18"/>
        </w:rPr>
        <w:t xml:space="preserve"> </w:t>
      </w:r>
      <w:r w:rsidRPr="007F43F8">
        <w:rPr>
          <w:rFonts w:ascii="Times" w:hAnsi="Times"/>
          <w:sz w:val="18"/>
          <w:szCs w:val="18"/>
        </w:rPr>
        <w:t xml:space="preserve">Utt TW, Meyers CE, Wierzba TF, Hondrum SO. A three-dimensional comparison of condylar position changes between centric relation and centric occlusion using the Mandibular Position Indicator.  </w:t>
      </w:r>
      <w:r w:rsidRPr="007F43F8">
        <w:rPr>
          <w:rFonts w:ascii="Times" w:hAnsi="Times"/>
          <w:i/>
          <w:sz w:val="18"/>
          <w:szCs w:val="18"/>
        </w:rPr>
        <w:t>AJO-DO</w:t>
      </w:r>
      <w:r w:rsidRPr="007F43F8">
        <w:rPr>
          <w:rFonts w:ascii="Times" w:hAnsi="Times"/>
          <w:sz w:val="18"/>
          <w:szCs w:val="18"/>
        </w:rPr>
        <w:t xml:space="preserve"> 1995;</w:t>
      </w:r>
      <w:r w:rsidRPr="007F43F8">
        <w:rPr>
          <w:rFonts w:ascii="Times" w:hAnsi="Times"/>
          <w:b/>
          <w:sz w:val="18"/>
          <w:szCs w:val="18"/>
        </w:rPr>
        <w:t>107</w:t>
      </w:r>
      <w:r w:rsidRPr="007F43F8">
        <w:rPr>
          <w:rFonts w:ascii="Times" w:hAnsi="Times"/>
          <w:sz w:val="18"/>
          <w:szCs w:val="18"/>
        </w:rPr>
        <w:t xml:space="preserve">(3):298-308. </w:t>
      </w:r>
    </w:p>
    <w:p w14:paraId="6250A8BD" w14:textId="77777777" w:rsidR="007F43F8" w:rsidRPr="007F43F8" w:rsidRDefault="007F43F8" w:rsidP="007F43F8">
      <w:pPr>
        <w:widowControl w:val="0"/>
        <w:autoSpaceDE w:val="0"/>
        <w:autoSpaceDN w:val="0"/>
        <w:adjustRightInd w:val="0"/>
        <w:rPr>
          <w:rFonts w:ascii="Times" w:hAnsi="Times"/>
          <w:sz w:val="18"/>
          <w:szCs w:val="18"/>
        </w:rPr>
      </w:pPr>
    </w:p>
    <w:p w14:paraId="4B664B6D" w14:textId="77777777" w:rsidR="007F43F8" w:rsidRPr="007F43F8" w:rsidRDefault="007F43F8" w:rsidP="007F43F8">
      <w:pPr>
        <w:widowControl w:val="0"/>
        <w:autoSpaceDE w:val="0"/>
        <w:autoSpaceDN w:val="0"/>
        <w:adjustRightInd w:val="0"/>
        <w:rPr>
          <w:rFonts w:ascii="Times" w:hAnsi="Times"/>
          <w:color w:val="000006"/>
          <w:sz w:val="18"/>
          <w:szCs w:val="18"/>
        </w:rPr>
      </w:pPr>
      <w:r w:rsidRPr="007F43F8">
        <w:rPr>
          <w:rFonts w:ascii="Times" w:hAnsi="Times"/>
          <w:color w:val="000006"/>
          <w:sz w:val="18"/>
          <w:szCs w:val="18"/>
        </w:rPr>
        <w:t>13.</w:t>
      </w:r>
      <w:r w:rsidRPr="007F43F8">
        <w:rPr>
          <w:rFonts w:ascii="Times" w:hAnsi="Times"/>
          <w:b/>
          <w:color w:val="419230"/>
          <w:sz w:val="18"/>
          <w:szCs w:val="18"/>
        </w:rPr>
        <w:t xml:space="preserve"> </w:t>
      </w:r>
      <w:r w:rsidRPr="007F43F8">
        <w:rPr>
          <w:rFonts w:ascii="Times" w:hAnsi="Times"/>
          <w:color w:val="000006"/>
          <w:sz w:val="18"/>
          <w:szCs w:val="18"/>
        </w:rPr>
        <w:t xml:space="preserve">Roth RH. Occlusion and condylar position. </w:t>
      </w:r>
      <w:r w:rsidRPr="007F43F8">
        <w:rPr>
          <w:rFonts w:ascii="Times" w:hAnsi="Times"/>
          <w:i/>
          <w:color w:val="000006"/>
          <w:sz w:val="18"/>
          <w:szCs w:val="18"/>
        </w:rPr>
        <w:t>AJO-DO</w:t>
      </w:r>
      <w:r w:rsidRPr="007F43F8">
        <w:rPr>
          <w:rFonts w:ascii="Times" w:hAnsi="Times"/>
          <w:color w:val="000006"/>
          <w:sz w:val="18"/>
          <w:szCs w:val="18"/>
        </w:rPr>
        <w:t xml:space="preserve"> 1995;</w:t>
      </w:r>
      <w:r w:rsidRPr="007F43F8">
        <w:rPr>
          <w:rFonts w:ascii="Times" w:hAnsi="Times"/>
          <w:b/>
          <w:color w:val="000006"/>
          <w:sz w:val="18"/>
          <w:szCs w:val="18"/>
        </w:rPr>
        <w:t>107</w:t>
      </w:r>
      <w:r w:rsidRPr="007F43F8">
        <w:rPr>
          <w:rFonts w:ascii="Times" w:hAnsi="Times"/>
          <w:color w:val="000006"/>
          <w:sz w:val="18"/>
          <w:szCs w:val="18"/>
        </w:rPr>
        <w:t>(3):315-318.</w:t>
      </w:r>
    </w:p>
    <w:p w14:paraId="2E687C99" w14:textId="77777777" w:rsidR="007F43F8" w:rsidRPr="007F43F8" w:rsidRDefault="007F43F8" w:rsidP="007F43F8">
      <w:pPr>
        <w:widowControl w:val="0"/>
        <w:autoSpaceDE w:val="0"/>
        <w:autoSpaceDN w:val="0"/>
        <w:adjustRightInd w:val="0"/>
        <w:rPr>
          <w:rFonts w:ascii="Times" w:hAnsi="Times"/>
          <w:color w:val="000006"/>
          <w:sz w:val="18"/>
          <w:szCs w:val="18"/>
        </w:rPr>
      </w:pPr>
    </w:p>
    <w:p w14:paraId="7980D7EA"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14.</w:t>
      </w:r>
      <w:r w:rsidRPr="007F43F8">
        <w:rPr>
          <w:rFonts w:ascii="Times" w:hAnsi="Times"/>
          <w:sz w:val="18"/>
          <w:szCs w:val="18"/>
        </w:rPr>
        <w:t xml:space="preserve"> Crawford, SD. The relationship between condylar axis position as determined by the occlusion and measured by the CPI instrument and signs and symptoms of TM joint dysfunction. </w:t>
      </w:r>
      <w:r w:rsidRPr="007F43F8">
        <w:rPr>
          <w:rFonts w:ascii="Times" w:hAnsi="Times"/>
          <w:i/>
          <w:sz w:val="18"/>
          <w:szCs w:val="18"/>
        </w:rPr>
        <w:t>Angle Orthod</w:t>
      </w:r>
      <w:r w:rsidRPr="007F43F8">
        <w:rPr>
          <w:rFonts w:ascii="Times" w:hAnsi="Times"/>
          <w:sz w:val="18"/>
          <w:szCs w:val="18"/>
        </w:rPr>
        <w:t xml:space="preserve"> 1999;</w:t>
      </w:r>
      <w:r w:rsidRPr="007F43F8">
        <w:rPr>
          <w:rFonts w:ascii="Times" w:hAnsi="Times"/>
          <w:b/>
          <w:sz w:val="18"/>
          <w:szCs w:val="18"/>
        </w:rPr>
        <w:t>69</w:t>
      </w:r>
      <w:r w:rsidRPr="007F43F8">
        <w:rPr>
          <w:rFonts w:ascii="Times" w:hAnsi="Times"/>
          <w:sz w:val="18"/>
          <w:szCs w:val="18"/>
        </w:rPr>
        <w:t>(2):103-115.</w:t>
      </w:r>
    </w:p>
    <w:p w14:paraId="5EE82025" w14:textId="77777777" w:rsidR="007F43F8" w:rsidRPr="007F43F8" w:rsidRDefault="007F43F8" w:rsidP="007F43F8">
      <w:pPr>
        <w:widowControl w:val="0"/>
        <w:autoSpaceDE w:val="0"/>
        <w:autoSpaceDN w:val="0"/>
        <w:adjustRightInd w:val="0"/>
        <w:rPr>
          <w:rFonts w:ascii="Times" w:hAnsi="Times"/>
          <w:sz w:val="18"/>
          <w:szCs w:val="18"/>
        </w:rPr>
      </w:pPr>
    </w:p>
    <w:p w14:paraId="0A261A44" w14:textId="77777777" w:rsidR="007F43F8" w:rsidRPr="007F43F8" w:rsidRDefault="007F43F8" w:rsidP="007F43F8">
      <w:pPr>
        <w:widowControl w:val="0"/>
        <w:autoSpaceDE w:val="0"/>
        <w:autoSpaceDN w:val="0"/>
        <w:adjustRightInd w:val="0"/>
        <w:spacing w:after="120"/>
        <w:rPr>
          <w:rFonts w:ascii="Times" w:hAnsi="Times"/>
          <w:sz w:val="18"/>
          <w:szCs w:val="18"/>
        </w:rPr>
      </w:pPr>
      <w:r w:rsidRPr="007F43F8">
        <w:rPr>
          <w:rFonts w:ascii="Times" w:hAnsi="Times"/>
          <w:color w:val="000006"/>
          <w:sz w:val="18"/>
          <w:szCs w:val="18"/>
        </w:rPr>
        <w:t>15.</w:t>
      </w:r>
      <w:r w:rsidRPr="007F43F8">
        <w:rPr>
          <w:rFonts w:ascii="Times" w:hAnsi="Times"/>
          <w:color w:val="419230"/>
          <w:sz w:val="18"/>
          <w:szCs w:val="18"/>
        </w:rPr>
        <w:t xml:space="preserve"> </w:t>
      </w:r>
      <w:r w:rsidRPr="007F43F8">
        <w:rPr>
          <w:rFonts w:ascii="Times" w:hAnsi="Times"/>
          <w:sz w:val="18"/>
          <w:szCs w:val="18"/>
        </w:rPr>
        <w:t xml:space="preserve">Girardot RA. Comparison of condylar position in hyperdivergent and hypodivergent facial skeletal types.    </w:t>
      </w:r>
      <w:r w:rsidRPr="007F43F8">
        <w:rPr>
          <w:rFonts w:ascii="Times" w:hAnsi="Times"/>
          <w:i/>
          <w:sz w:val="18"/>
          <w:szCs w:val="18"/>
        </w:rPr>
        <w:t>Angle Orthod</w:t>
      </w:r>
      <w:r w:rsidRPr="007F43F8">
        <w:rPr>
          <w:rFonts w:ascii="Times" w:hAnsi="Times"/>
          <w:sz w:val="18"/>
          <w:szCs w:val="18"/>
        </w:rPr>
        <w:t xml:space="preserve"> 2001;</w:t>
      </w:r>
      <w:r w:rsidRPr="007F43F8">
        <w:rPr>
          <w:rFonts w:ascii="Times" w:hAnsi="Times"/>
          <w:b/>
          <w:sz w:val="18"/>
          <w:szCs w:val="18"/>
        </w:rPr>
        <w:t>71</w:t>
      </w:r>
      <w:r w:rsidRPr="007F43F8">
        <w:rPr>
          <w:rFonts w:ascii="Times" w:hAnsi="Times"/>
          <w:sz w:val="18"/>
          <w:szCs w:val="18"/>
        </w:rPr>
        <w:t>;240-246.</w:t>
      </w:r>
    </w:p>
    <w:p w14:paraId="72CA489D"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16.</w:t>
      </w:r>
      <w:r w:rsidRPr="007F43F8">
        <w:rPr>
          <w:rFonts w:ascii="Times" w:hAnsi="Times"/>
          <w:color w:val="FF0000"/>
          <w:sz w:val="18"/>
          <w:szCs w:val="18"/>
        </w:rPr>
        <w:t xml:space="preserve"> </w:t>
      </w:r>
      <w:r w:rsidRPr="007F43F8">
        <w:rPr>
          <w:rFonts w:ascii="Times" w:hAnsi="Times"/>
          <w:sz w:val="18"/>
          <w:szCs w:val="18"/>
        </w:rPr>
        <w:t xml:space="preserve">Hidaka O, Adachi S, Takada K. The difference in condylar position between centric relation and centric occlusion in pretreatment Japanese orthodontic patients.  </w:t>
      </w:r>
      <w:r w:rsidRPr="007F43F8">
        <w:rPr>
          <w:rFonts w:ascii="Times" w:hAnsi="Times"/>
          <w:i/>
          <w:sz w:val="18"/>
          <w:szCs w:val="18"/>
        </w:rPr>
        <w:t>Angle Orthod</w:t>
      </w:r>
      <w:r w:rsidRPr="007F43F8">
        <w:rPr>
          <w:rFonts w:ascii="Times" w:hAnsi="Times"/>
          <w:sz w:val="18"/>
          <w:szCs w:val="18"/>
        </w:rPr>
        <w:t xml:space="preserve"> 2002;</w:t>
      </w:r>
      <w:r w:rsidRPr="007F43F8">
        <w:rPr>
          <w:rFonts w:ascii="Times" w:hAnsi="Times"/>
          <w:b/>
          <w:sz w:val="18"/>
          <w:szCs w:val="18"/>
        </w:rPr>
        <w:t>72</w:t>
      </w:r>
      <w:r w:rsidRPr="007F43F8">
        <w:rPr>
          <w:rFonts w:ascii="Times" w:hAnsi="Times"/>
          <w:sz w:val="18"/>
          <w:szCs w:val="18"/>
        </w:rPr>
        <w:t>(4):295-301.</w:t>
      </w:r>
    </w:p>
    <w:p w14:paraId="5550ABCA" w14:textId="77777777" w:rsidR="007F43F8" w:rsidRPr="007F43F8" w:rsidRDefault="007F43F8" w:rsidP="007F43F8">
      <w:pPr>
        <w:widowControl w:val="0"/>
        <w:autoSpaceDE w:val="0"/>
        <w:autoSpaceDN w:val="0"/>
        <w:adjustRightInd w:val="0"/>
        <w:rPr>
          <w:rFonts w:ascii="Times" w:hAnsi="Times"/>
          <w:sz w:val="18"/>
          <w:szCs w:val="18"/>
        </w:rPr>
      </w:pPr>
    </w:p>
    <w:p w14:paraId="12DB4EDC"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17.</w:t>
      </w:r>
      <w:r w:rsidRPr="007F43F8">
        <w:rPr>
          <w:rFonts w:ascii="Times" w:hAnsi="Times"/>
          <w:b/>
          <w:color w:val="419230"/>
          <w:sz w:val="18"/>
          <w:szCs w:val="18"/>
        </w:rPr>
        <w:t xml:space="preserve"> </w:t>
      </w:r>
      <w:r w:rsidRPr="007F43F8">
        <w:rPr>
          <w:rFonts w:ascii="Times" w:hAnsi="Times"/>
          <w:sz w:val="18"/>
          <w:szCs w:val="18"/>
        </w:rPr>
        <w:t xml:space="preserve">Shafagh I, Amirloo R. Replicability of chin-point guidance and anterior deprogrammer for recording centric relation. </w:t>
      </w:r>
      <w:r w:rsidRPr="007F43F8">
        <w:rPr>
          <w:rFonts w:ascii="Times" w:hAnsi="Times"/>
          <w:i/>
          <w:sz w:val="18"/>
          <w:szCs w:val="18"/>
        </w:rPr>
        <w:t>J Prosth Dent</w:t>
      </w:r>
      <w:r w:rsidRPr="007F43F8">
        <w:rPr>
          <w:rFonts w:ascii="Times" w:hAnsi="Times"/>
          <w:sz w:val="18"/>
          <w:szCs w:val="18"/>
        </w:rPr>
        <w:t xml:space="preserve"> 1979;</w:t>
      </w:r>
      <w:r w:rsidRPr="007F43F8">
        <w:rPr>
          <w:rFonts w:ascii="Times" w:hAnsi="Times"/>
          <w:b/>
          <w:sz w:val="18"/>
          <w:szCs w:val="18"/>
        </w:rPr>
        <w:t>42</w:t>
      </w:r>
      <w:r w:rsidRPr="007F43F8">
        <w:rPr>
          <w:rFonts w:ascii="Times" w:hAnsi="Times"/>
          <w:sz w:val="18"/>
          <w:szCs w:val="18"/>
        </w:rPr>
        <w:t>:402-404.</w:t>
      </w:r>
    </w:p>
    <w:p w14:paraId="026D05AC" w14:textId="77777777" w:rsidR="007F43F8" w:rsidRPr="007F43F8" w:rsidRDefault="007F43F8" w:rsidP="007F43F8">
      <w:pPr>
        <w:widowControl w:val="0"/>
        <w:autoSpaceDE w:val="0"/>
        <w:autoSpaceDN w:val="0"/>
        <w:adjustRightInd w:val="0"/>
        <w:rPr>
          <w:rFonts w:ascii="Times" w:hAnsi="Times"/>
          <w:sz w:val="18"/>
          <w:szCs w:val="18"/>
        </w:rPr>
      </w:pPr>
    </w:p>
    <w:p w14:paraId="2B7F505B"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18.</w:t>
      </w:r>
      <w:r w:rsidRPr="007F43F8">
        <w:rPr>
          <w:rFonts w:ascii="Times" w:hAnsi="Times"/>
          <w:b/>
          <w:color w:val="E02E52"/>
          <w:sz w:val="18"/>
          <w:szCs w:val="18"/>
        </w:rPr>
        <w:t xml:space="preserve"> </w:t>
      </w:r>
      <w:r w:rsidRPr="007F43F8">
        <w:rPr>
          <w:rFonts w:ascii="Times" w:hAnsi="Times"/>
          <w:sz w:val="18"/>
          <w:szCs w:val="18"/>
        </w:rPr>
        <w:t xml:space="preserve">Wood DP, Elliot RW.  Reproducibility of the centric relation wax bite technic. </w:t>
      </w:r>
      <w:r w:rsidRPr="007F43F8">
        <w:rPr>
          <w:rFonts w:ascii="Times" w:hAnsi="Times"/>
          <w:i/>
          <w:sz w:val="18"/>
          <w:szCs w:val="18"/>
        </w:rPr>
        <w:t>Angle Orthod</w:t>
      </w:r>
      <w:r w:rsidRPr="007F43F8">
        <w:rPr>
          <w:rFonts w:ascii="Times" w:hAnsi="Times"/>
          <w:sz w:val="18"/>
          <w:szCs w:val="18"/>
        </w:rPr>
        <w:t xml:space="preserve">  1994;</w:t>
      </w:r>
      <w:r w:rsidRPr="007F43F8">
        <w:rPr>
          <w:rFonts w:ascii="Times" w:hAnsi="Times"/>
          <w:b/>
          <w:sz w:val="18"/>
          <w:szCs w:val="18"/>
        </w:rPr>
        <w:t>64</w:t>
      </w:r>
      <w:r w:rsidRPr="007F43F8">
        <w:rPr>
          <w:rFonts w:ascii="Times" w:hAnsi="Times"/>
          <w:sz w:val="18"/>
          <w:szCs w:val="18"/>
        </w:rPr>
        <w:t>:211-221.</w:t>
      </w:r>
    </w:p>
    <w:p w14:paraId="4E3A87BB" w14:textId="77777777" w:rsidR="007F43F8" w:rsidRPr="007F43F8" w:rsidRDefault="007F43F8" w:rsidP="007F43F8">
      <w:pPr>
        <w:widowControl w:val="0"/>
        <w:autoSpaceDE w:val="0"/>
        <w:autoSpaceDN w:val="0"/>
        <w:adjustRightInd w:val="0"/>
        <w:rPr>
          <w:rFonts w:ascii="Times" w:hAnsi="Times"/>
          <w:color w:val="419230"/>
          <w:sz w:val="18"/>
          <w:szCs w:val="18"/>
        </w:rPr>
      </w:pPr>
    </w:p>
    <w:p w14:paraId="3675E527" w14:textId="77777777" w:rsidR="007F43F8" w:rsidRPr="007F43F8" w:rsidRDefault="007F43F8" w:rsidP="007F43F8">
      <w:pPr>
        <w:widowControl w:val="0"/>
        <w:autoSpaceDE w:val="0"/>
        <w:autoSpaceDN w:val="0"/>
        <w:adjustRightInd w:val="0"/>
        <w:rPr>
          <w:rFonts w:ascii="Times" w:hAnsi="Times"/>
          <w:color w:val="419230"/>
          <w:sz w:val="18"/>
          <w:szCs w:val="18"/>
        </w:rPr>
      </w:pPr>
      <w:r w:rsidRPr="007F43F8">
        <w:rPr>
          <w:rFonts w:ascii="Times" w:hAnsi="Times"/>
          <w:color w:val="000006"/>
          <w:sz w:val="18"/>
          <w:szCs w:val="18"/>
        </w:rPr>
        <w:t>19.</w:t>
      </w:r>
      <w:r w:rsidRPr="007F43F8">
        <w:rPr>
          <w:rFonts w:ascii="Times" w:hAnsi="Times"/>
          <w:b/>
          <w:color w:val="E02E52"/>
          <w:sz w:val="18"/>
          <w:szCs w:val="18"/>
        </w:rPr>
        <w:t xml:space="preserve"> </w:t>
      </w:r>
      <w:r w:rsidRPr="007F43F8">
        <w:rPr>
          <w:rFonts w:ascii="Times" w:hAnsi="Times"/>
          <w:sz w:val="18"/>
          <w:szCs w:val="18"/>
        </w:rPr>
        <w:t xml:space="preserve">Karl PJ,  Foley TF.  The use of a deprogramming appliance to obtain centric relation records.  </w:t>
      </w:r>
      <w:r w:rsidRPr="007F43F8">
        <w:rPr>
          <w:rFonts w:ascii="Times" w:hAnsi="Times"/>
          <w:i/>
          <w:sz w:val="18"/>
          <w:szCs w:val="18"/>
        </w:rPr>
        <w:t>Angle Orthod</w:t>
      </w:r>
      <w:r w:rsidRPr="007F43F8">
        <w:rPr>
          <w:rFonts w:ascii="Times" w:hAnsi="Times"/>
          <w:sz w:val="18"/>
          <w:szCs w:val="18"/>
        </w:rPr>
        <w:t xml:space="preserve"> 1999;</w:t>
      </w:r>
      <w:r w:rsidRPr="007F43F8">
        <w:rPr>
          <w:rFonts w:ascii="Times" w:hAnsi="Times"/>
          <w:b/>
          <w:sz w:val="18"/>
          <w:szCs w:val="18"/>
        </w:rPr>
        <w:t>69</w:t>
      </w:r>
      <w:r w:rsidRPr="007F43F8">
        <w:rPr>
          <w:rFonts w:ascii="Times" w:hAnsi="Times"/>
          <w:sz w:val="18"/>
          <w:szCs w:val="18"/>
        </w:rPr>
        <w:t>(2):117-125.</w:t>
      </w:r>
    </w:p>
    <w:p w14:paraId="63E4E94D" w14:textId="77777777" w:rsidR="007F43F8" w:rsidRPr="007F43F8" w:rsidRDefault="007F43F8" w:rsidP="007F43F8">
      <w:pPr>
        <w:widowControl w:val="0"/>
        <w:autoSpaceDE w:val="0"/>
        <w:autoSpaceDN w:val="0"/>
        <w:adjustRightInd w:val="0"/>
        <w:rPr>
          <w:rFonts w:ascii="Times" w:hAnsi="Times"/>
          <w:color w:val="419230"/>
          <w:sz w:val="18"/>
          <w:szCs w:val="18"/>
        </w:rPr>
      </w:pPr>
    </w:p>
    <w:p w14:paraId="5FD70A89" w14:textId="77777777" w:rsidR="007F43F8" w:rsidRPr="007F43F8" w:rsidRDefault="007F43F8" w:rsidP="007F43F8">
      <w:pPr>
        <w:widowControl w:val="0"/>
        <w:autoSpaceDE w:val="0"/>
        <w:autoSpaceDN w:val="0"/>
        <w:adjustRightInd w:val="0"/>
        <w:spacing w:after="120"/>
        <w:rPr>
          <w:rFonts w:ascii="Times" w:hAnsi="Times"/>
          <w:sz w:val="18"/>
          <w:szCs w:val="18"/>
        </w:rPr>
      </w:pPr>
      <w:r w:rsidRPr="007F43F8">
        <w:rPr>
          <w:rFonts w:ascii="Times" w:hAnsi="Times"/>
          <w:color w:val="000006"/>
          <w:sz w:val="18"/>
          <w:szCs w:val="18"/>
        </w:rPr>
        <w:t>20.</w:t>
      </w:r>
      <w:r w:rsidRPr="007F43F8">
        <w:rPr>
          <w:rFonts w:ascii="Times" w:hAnsi="Times"/>
          <w:b/>
          <w:color w:val="419230"/>
          <w:sz w:val="18"/>
          <w:szCs w:val="18"/>
        </w:rPr>
        <w:t xml:space="preserve"> </w:t>
      </w:r>
      <w:r w:rsidRPr="007F43F8">
        <w:rPr>
          <w:rFonts w:ascii="Times" w:hAnsi="Times"/>
          <w:sz w:val="18"/>
          <w:szCs w:val="18"/>
        </w:rPr>
        <w:t xml:space="preserve">Wood DP, Floreani KJ, Galil KA, Teteruk WR. The effect of incisal bite force on condylar seating. </w:t>
      </w:r>
      <w:r w:rsidRPr="007F43F8">
        <w:rPr>
          <w:rFonts w:ascii="Times" w:hAnsi="Times"/>
          <w:i/>
          <w:sz w:val="18"/>
          <w:szCs w:val="18"/>
        </w:rPr>
        <w:t>Angle Orthod</w:t>
      </w:r>
      <w:r w:rsidRPr="007F43F8">
        <w:rPr>
          <w:rFonts w:ascii="Times" w:hAnsi="Times"/>
          <w:sz w:val="18"/>
          <w:szCs w:val="18"/>
        </w:rPr>
        <w:t xml:space="preserve"> 1992;</w:t>
      </w:r>
      <w:r w:rsidRPr="007F43F8">
        <w:rPr>
          <w:rFonts w:ascii="Times" w:hAnsi="Times"/>
          <w:b/>
          <w:sz w:val="18"/>
          <w:szCs w:val="18"/>
        </w:rPr>
        <w:t>64</w:t>
      </w:r>
      <w:r w:rsidRPr="007F43F8">
        <w:rPr>
          <w:rFonts w:ascii="Times" w:hAnsi="Times"/>
          <w:sz w:val="18"/>
          <w:szCs w:val="18"/>
        </w:rPr>
        <w:t>:1-9.</w:t>
      </w:r>
    </w:p>
    <w:p w14:paraId="57BC0242" w14:textId="77777777" w:rsidR="007F43F8" w:rsidRPr="007F43F8" w:rsidRDefault="007F43F8" w:rsidP="007F43F8">
      <w:pPr>
        <w:widowControl w:val="0"/>
        <w:autoSpaceDE w:val="0"/>
        <w:autoSpaceDN w:val="0"/>
        <w:adjustRightInd w:val="0"/>
        <w:spacing w:after="120"/>
        <w:rPr>
          <w:rFonts w:ascii="Times" w:hAnsi="Times"/>
          <w:sz w:val="18"/>
          <w:szCs w:val="18"/>
        </w:rPr>
      </w:pPr>
      <w:r w:rsidRPr="007F43F8">
        <w:rPr>
          <w:rFonts w:ascii="Times" w:hAnsi="Times"/>
          <w:color w:val="000006"/>
          <w:sz w:val="18"/>
          <w:szCs w:val="18"/>
        </w:rPr>
        <w:t>21.</w:t>
      </w:r>
      <w:r w:rsidRPr="007F43F8">
        <w:rPr>
          <w:rFonts w:ascii="Times" w:hAnsi="Times"/>
          <w:b/>
          <w:color w:val="419230"/>
          <w:sz w:val="18"/>
          <w:szCs w:val="18"/>
        </w:rPr>
        <w:t xml:space="preserve"> </w:t>
      </w:r>
      <w:r w:rsidRPr="007F43F8">
        <w:rPr>
          <w:rFonts w:ascii="Times" w:hAnsi="Times"/>
          <w:sz w:val="18"/>
          <w:szCs w:val="18"/>
        </w:rPr>
        <w:t xml:space="preserve">deLaat A, Van Steenberghe D. Occlusal relationships and TM joint dysfunction.  Part 1: epidemiological findings.  </w:t>
      </w:r>
      <w:r w:rsidRPr="007F43F8">
        <w:rPr>
          <w:rFonts w:ascii="Times" w:hAnsi="Times"/>
          <w:i/>
          <w:sz w:val="18"/>
          <w:szCs w:val="18"/>
        </w:rPr>
        <w:t>J Prosth Dent</w:t>
      </w:r>
      <w:r w:rsidRPr="007F43F8">
        <w:rPr>
          <w:rFonts w:ascii="Times" w:hAnsi="Times"/>
          <w:sz w:val="18"/>
          <w:szCs w:val="18"/>
        </w:rPr>
        <w:t xml:space="preserve"> 1985;</w:t>
      </w:r>
      <w:r w:rsidRPr="007F43F8">
        <w:rPr>
          <w:rFonts w:ascii="Times" w:hAnsi="Times"/>
          <w:b/>
          <w:sz w:val="18"/>
          <w:szCs w:val="18"/>
        </w:rPr>
        <w:t>54</w:t>
      </w:r>
      <w:r w:rsidRPr="007F43F8">
        <w:rPr>
          <w:rFonts w:ascii="Times" w:hAnsi="Times"/>
          <w:sz w:val="18"/>
          <w:szCs w:val="18"/>
        </w:rPr>
        <w:t>:835-42.</w:t>
      </w:r>
    </w:p>
    <w:p w14:paraId="62AF8BAB"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22.</w:t>
      </w:r>
      <w:r w:rsidRPr="007F43F8">
        <w:rPr>
          <w:rFonts w:ascii="Times" w:hAnsi="Times"/>
          <w:b/>
          <w:color w:val="FF0000"/>
          <w:sz w:val="18"/>
          <w:szCs w:val="18"/>
        </w:rPr>
        <w:t xml:space="preserve"> </w:t>
      </w:r>
      <w:r w:rsidRPr="007F43F8">
        <w:rPr>
          <w:rFonts w:ascii="Times" w:hAnsi="Times"/>
          <w:sz w:val="18"/>
          <w:szCs w:val="18"/>
        </w:rPr>
        <w:t xml:space="preserve">Hicks ST, Wood DP. Recording condylar movement with two facebow systems. </w:t>
      </w:r>
      <w:r w:rsidRPr="007F43F8">
        <w:rPr>
          <w:rFonts w:ascii="Times" w:hAnsi="Times"/>
          <w:i/>
          <w:sz w:val="18"/>
          <w:szCs w:val="18"/>
        </w:rPr>
        <w:t xml:space="preserve"> Angle Orthod </w:t>
      </w:r>
      <w:r w:rsidRPr="007F43F8">
        <w:rPr>
          <w:rFonts w:ascii="Times" w:hAnsi="Times"/>
          <w:sz w:val="18"/>
          <w:szCs w:val="18"/>
        </w:rPr>
        <w:t>1996;</w:t>
      </w:r>
      <w:r w:rsidRPr="007F43F8">
        <w:rPr>
          <w:rFonts w:ascii="Times" w:hAnsi="Times"/>
          <w:b/>
          <w:sz w:val="18"/>
          <w:szCs w:val="18"/>
        </w:rPr>
        <w:t>66</w:t>
      </w:r>
      <w:r w:rsidRPr="007F43F8">
        <w:rPr>
          <w:rFonts w:ascii="Times" w:hAnsi="Times"/>
          <w:sz w:val="18"/>
          <w:szCs w:val="18"/>
        </w:rPr>
        <w:t>:293-300.</w:t>
      </w:r>
    </w:p>
    <w:p w14:paraId="038E1C55" w14:textId="77777777" w:rsidR="007F43F8" w:rsidRPr="007F43F8" w:rsidRDefault="007F43F8" w:rsidP="007F43F8">
      <w:pPr>
        <w:widowControl w:val="0"/>
        <w:autoSpaceDE w:val="0"/>
        <w:autoSpaceDN w:val="0"/>
        <w:adjustRightInd w:val="0"/>
        <w:rPr>
          <w:rFonts w:ascii="Times" w:hAnsi="Times"/>
          <w:sz w:val="18"/>
          <w:szCs w:val="18"/>
        </w:rPr>
      </w:pPr>
    </w:p>
    <w:p w14:paraId="7DE189FE" w14:textId="77777777" w:rsidR="007F43F8" w:rsidRPr="007F43F8" w:rsidRDefault="007F43F8" w:rsidP="007F43F8">
      <w:pPr>
        <w:widowControl w:val="0"/>
        <w:autoSpaceDE w:val="0"/>
        <w:autoSpaceDN w:val="0"/>
        <w:adjustRightInd w:val="0"/>
        <w:rPr>
          <w:rFonts w:ascii="Times" w:hAnsi="Times"/>
          <w:b/>
          <w:color w:val="00FF00"/>
          <w:sz w:val="18"/>
          <w:szCs w:val="18"/>
        </w:rPr>
      </w:pPr>
      <w:r w:rsidRPr="007F43F8">
        <w:rPr>
          <w:rFonts w:ascii="Times" w:hAnsi="Times"/>
          <w:color w:val="000006"/>
          <w:sz w:val="18"/>
          <w:szCs w:val="18"/>
        </w:rPr>
        <w:t>23.</w:t>
      </w:r>
      <w:r w:rsidRPr="007F43F8">
        <w:rPr>
          <w:rFonts w:ascii="Times" w:hAnsi="Times"/>
          <w:b/>
          <w:color w:val="FF0000"/>
          <w:sz w:val="18"/>
          <w:szCs w:val="18"/>
        </w:rPr>
        <w:t xml:space="preserve"> </w:t>
      </w:r>
      <w:r w:rsidRPr="007F43F8">
        <w:rPr>
          <w:rFonts w:ascii="Times" w:hAnsi="Times"/>
          <w:sz w:val="18"/>
          <w:szCs w:val="18"/>
        </w:rPr>
        <w:t xml:space="preserve">Ramfjord SP, Ash MM, eds.  </w:t>
      </w:r>
      <w:r w:rsidRPr="007F43F8">
        <w:rPr>
          <w:rFonts w:ascii="Times" w:hAnsi="Times"/>
          <w:i/>
          <w:sz w:val="18"/>
          <w:szCs w:val="18"/>
        </w:rPr>
        <w:t>Occlusion</w:t>
      </w:r>
      <w:r w:rsidRPr="007F43F8">
        <w:rPr>
          <w:rFonts w:ascii="Times" w:hAnsi="Times"/>
          <w:sz w:val="18"/>
          <w:szCs w:val="18"/>
        </w:rPr>
        <w:t>. 3rd Edition. Philadelphia, PA: WB Saunders; 1983,73,95,178,208-211,215,222,229,244.</w:t>
      </w:r>
    </w:p>
    <w:p w14:paraId="5077E06A" w14:textId="77777777" w:rsidR="007F43F8" w:rsidRPr="007F43F8" w:rsidRDefault="007F43F8" w:rsidP="007F43F8">
      <w:pPr>
        <w:widowControl w:val="0"/>
        <w:autoSpaceDE w:val="0"/>
        <w:autoSpaceDN w:val="0"/>
        <w:adjustRightInd w:val="0"/>
        <w:rPr>
          <w:rFonts w:ascii="Times" w:hAnsi="Times"/>
          <w:b/>
          <w:color w:val="E02E52"/>
          <w:sz w:val="18"/>
          <w:szCs w:val="18"/>
        </w:rPr>
      </w:pPr>
    </w:p>
    <w:p w14:paraId="21E92830" w14:textId="77777777" w:rsidR="007F43F8" w:rsidRPr="007F43F8" w:rsidRDefault="007F43F8" w:rsidP="007F43F8">
      <w:pPr>
        <w:widowControl w:val="0"/>
        <w:autoSpaceDE w:val="0"/>
        <w:autoSpaceDN w:val="0"/>
        <w:adjustRightInd w:val="0"/>
        <w:spacing w:after="120"/>
        <w:rPr>
          <w:rFonts w:ascii="Times" w:hAnsi="Times"/>
          <w:sz w:val="18"/>
          <w:szCs w:val="18"/>
        </w:rPr>
      </w:pPr>
      <w:r w:rsidRPr="007F43F8">
        <w:rPr>
          <w:rFonts w:ascii="Times" w:hAnsi="Times"/>
          <w:color w:val="000006"/>
          <w:sz w:val="18"/>
          <w:szCs w:val="18"/>
        </w:rPr>
        <w:t>24.</w:t>
      </w:r>
      <w:r w:rsidRPr="007F43F8">
        <w:rPr>
          <w:rFonts w:ascii="Times" w:hAnsi="Times"/>
          <w:b/>
          <w:color w:val="E02E52"/>
          <w:sz w:val="18"/>
          <w:szCs w:val="18"/>
        </w:rPr>
        <w:t xml:space="preserve"> </w:t>
      </w:r>
      <w:r w:rsidRPr="007F43F8">
        <w:rPr>
          <w:rFonts w:ascii="Times" w:hAnsi="Times"/>
          <w:sz w:val="18"/>
          <w:szCs w:val="18"/>
        </w:rPr>
        <w:t xml:space="preserve">Williamson EH, Steinke RM, Morse PK, Swift TR. Centric relation: A comparison of muscle-determined position and operator guidance.  </w:t>
      </w:r>
      <w:r w:rsidRPr="007F43F8">
        <w:rPr>
          <w:rFonts w:ascii="Times" w:hAnsi="Times"/>
          <w:i/>
          <w:sz w:val="18"/>
          <w:szCs w:val="18"/>
        </w:rPr>
        <w:t>AJO-DO</w:t>
      </w:r>
      <w:r w:rsidRPr="007F43F8">
        <w:rPr>
          <w:rFonts w:ascii="Times" w:hAnsi="Times"/>
          <w:sz w:val="18"/>
          <w:szCs w:val="18"/>
        </w:rPr>
        <w:t xml:space="preserve"> 1980;</w:t>
      </w:r>
      <w:r w:rsidRPr="007F43F8">
        <w:rPr>
          <w:rFonts w:ascii="Times" w:hAnsi="Times"/>
          <w:b/>
          <w:sz w:val="18"/>
          <w:szCs w:val="18"/>
        </w:rPr>
        <w:t>77</w:t>
      </w:r>
      <w:r w:rsidRPr="007F43F8">
        <w:rPr>
          <w:rFonts w:ascii="Times" w:hAnsi="Times"/>
          <w:sz w:val="18"/>
          <w:szCs w:val="18"/>
        </w:rPr>
        <w:t>:133-145.</w:t>
      </w:r>
      <w:r w:rsidRPr="007F43F8">
        <w:rPr>
          <w:rFonts w:ascii="Times" w:hAnsi="Times"/>
          <w:b/>
          <w:sz w:val="18"/>
          <w:szCs w:val="18"/>
        </w:rPr>
        <w:tab/>
      </w:r>
    </w:p>
    <w:p w14:paraId="08B77F93" w14:textId="77777777" w:rsidR="007F43F8" w:rsidRPr="007F43F8" w:rsidRDefault="007F43F8" w:rsidP="007F43F8">
      <w:pPr>
        <w:widowControl w:val="0"/>
        <w:autoSpaceDE w:val="0"/>
        <w:autoSpaceDN w:val="0"/>
        <w:adjustRightInd w:val="0"/>
        <w:spacing w:after="120"/>
        <w:rPr>
          <w:rFonts w:ascii="Times" w:hAnsi="Times"/>
          <w:sz w:val="18"/>
          <w:szCs w:val="18"/>
        </w:rPr>
      </w:pPr>
      <w:r w:rsidRPr="007F43F8">
        <w:rPr>
          <w:rFonts w:ascii="Times" w:hAnsi="Times"/>
          <w:color w:val="000006"/>
          <w:sz w:val="18"/>
          <w:szCs w:val="18"/>
        </w:rPr>
        <w:t>25.</w:t>
      </w:r>
      <w:r w:rsidRPr="007F43F8">
        <w:rPr>
          <w:rFonts w:ascii="Times" w:hAnsi="Times"/>
          <w:b/>
          <w:color w:val="419230"/>
          <w:sz w:val="18"/>
          <w:szCs w:val="18"/>
        </w:rPr>
        <w:t xml:space="preserve"> </w:t>
      </w:r>
      <w:r w:rsidRPr="007F43F8">
        <w:rPr>
          <w:rFonts w:ascii="Times" w:hAnsi="Times"/>
          <w:sz w:val="18"/>
          <w:szCs w:val="18"/>
        </w:rPr>
        <w:t xml:space="preserve">Beard CC, Clayton JA. Effects of occlusal splint therapy on TMJ dysfunction. </w:t>
      </w:r>
      <w:r w:rsidRPr="007F43F8">
        <w:rPr>
          <w:rFonts w:ascii="Times" w:hAnsi="Times"/>
          <w:i/>
          <w:sz w:val="18"/>
          <w:szCs w:val="18"/>
        </w:rPr>
        <w:t>J Prosth Dent</w:t>
      </w:r>
      <w:r w:rsidRPr="007F43F8">
        <w:rPr>
          <w:rFonts w:ascii="Times" w:hAnsi="Times"/>
          <w:sz w:val="18"/>
          <w:szCs w:val="18"/>
        </w:rPr>
        <w:t xml:space="preserve"> 1980;</w:t>
      </w:r>
      <w:r w:rsidRPr="007F43F8">
        <w:rPr>
          <w:rFonts w:ascii="Times" w:hAnsi="Times"/>
          <w:b/>
          <w:sz w:val="18"/>
          <w:szCs w:val="18"/>
        </w:rPr>
        <w:t>44</w:t>
      </w:r>
      <w:r w:rsidRPr="007F43F8">
        <w:rPr>
          <w:rFonts w:ascii="Times" w:hAnsi="Times"/>
          <w:sz w:val="18"/>
          <w:szCs w:val="18"/>
        </w:rPr>
        <w:t>:324-335</w:t>
      </w:r>
    </w:p>
    <w:p w14:paraId="02A5DE7B" w14:textId="77777777" w:rsidR="007F43F8" w:rsidRPr="007F43F8" w:rsidRDefault="007F43F8" w:rsidP="007F43F8">
      <w:pPr>
        <w:widowControl w:val="0"/>
        <w:autoSpaceDE w:val="0"/>
        <w:autoSpaceDN w:val="0"/>
        <w:adjustRightInd w:val="0"/>
        <w:rPr>
          <w:rFonts w:ascii="Times" w:hAnsi="Times"/>
          <w:b/>
          <w:color w:val="FF0000"/>
          <w:sz w:val="18"/>
          <w:szCs w:val="18"/>
        </w:rPr>
      </w:pPr>
      <w:r w:rsidRPr="007F43F8">
        <w:rPr>
          <w:rFonts w:ascii="Times" w:hAnsi="Times"/>
          <w:color w:val="000006"/>
          <w:sz w:val="18"/>
          <w:szCs w:val="18"/>
        </w:rPr>
        <w:t>26</w:t>
      </w:r>
      <w:r w:rsidRPr="007F43F8">
        <w:rPr>
          <w:rFonts w:ascii="Times" w:hAnsi="Times"/>
          <w:b/>
          <w:color w:val="FF0000"/>
          <w:sz w:val="18"/>
          <w:szCs w:val="18"/>
        </w:rPr>
        <w:t xml:space="preserve"> </w:t>
      </w:r>
      <w:r w:rsidRPr="007F43F8">
        <w:rPr>
          <w:rFonts w:ascii="Times" w:hAnsi="Times"/>
          <w:sz w:val="18"/>
          <w:szCs w:val="18"/>
        </w:rPr>
        <w:t xml:space="preserve">Howat AP, Capp NJ, Barrett NVJ. </w:t>
      </w:r>
      <w:r w:rsidRPr="007F43F8">
        <w:rPr>
          <w:rFonts w:ascii="Times" w:hAnsi="Times"/>
          <w:i/>
          <w:sz w:val="18"/>
          <w:szCs w:val="18"/>
        </w:rPr>
        <w:t>A Color Atlas of Occlusion and Malocclusion</w:t>
      </w:r>
      <w:r w:rsidRPr="007F43F8">
        <w:rPr>
          <w:rFonts w:ascii="Times" w:hAnsi="Times"/>
          <w:sz w:val="18"/>
          <w:szCs w:val="18"/>
        </w:rPr>
        <w:t>. St. Louis, MO: CV Mosby, 1991:11,26-27,33,45,47,69,101,108,111.</w:t>
      </w:r>
    </w:p>
    <w:p w14:paraId="3054D160"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40F12EA9"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 xml:space="preserve">27. </w:t>
      </w:r>
      <w:r w:rsidRPr="007F43F8">
        <w:rPr>
          <w:rFonts w:ascii="Times" w:hAnsi="Times"/>
          <w:sz w:val="18"/>
          <w:szCs w:val="18"/>
        </w:rPr>
        <w:t xml:space="preserve">Ingervall B. Tooth contacts on the functional and non-functional side in children and young adults.  </w:t>
      </w:r>
      <w:r w:rsidRPr="007F43F8">
        <w:rPr>
          <w:rFonts w:ascii="Times" w:hAnsi="Times"/>
          <w:i/>
          <w:sz w:val="18"/>
          <w:szCs w:val="18"/>
        </w:rPr>
        <w:t>Arch Oral Biol</w:t>
      </w:r>
      <w:r w:rsidRPr="007F43F8">
        <w:rPr>
          <w:rFonts w:ascii="Times" w:hAnsi="Times"/>
          <w:sz w:val="18"/>
          <w:szCs w:val="18"/>
        </w:rPr>
        <w:t xml:space="preserve"> 1972;</w:t>
      </w:r>
      <w:r w:rsidRPr="007F43F8">
        <w:rPr>
          <w:rFonts w:ascii="Times" w:hAnsi="Times"/>
          <w:b/>
          <w:sz w:val="18"/>
          <w:szCs w:val="18"/>
        </w:rPr>
        <w:t>17</w:t>
      </w:r>
      <w:r w:rsidRPr="007F43F8">
        <w:rPr>
          <w:rFonts w:ascii="Times" w:hAnsi="Times"/>
          <w:sz w:val="18"/>
          <w:szCs w:val="18"/>
        </w:rPr>
        <w:t>:191-200.</w:t>
      </w:r>
    </w:p>
    <w:p w14:paraId="7F97F19E" w14:textId="77777777" w:rsidR="007F43F8" w:rsidRPr="007F43F8" w:rsidRDefault="007F43F8" w:rsidP="007F43F8">
      <w:pPr>
        <w:widowControl w:val="0"/>
        <w:autoSpaceDE w:val="0"/>
        <w:autoSpaceDN w:val="0"/>
        <w:adjustRightInd w:val="0"/>
        <w:rPr>
          <w:rFonts w:ascii="Times" w:hAnsi="Times"/>
          <w:sz w:val="18"/>
          <w:szCs w:val="18"/>
        </w:rPr>
      </w:pPr>
    </w:p>
    <w:p w14:paraId="031D2DA4"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lastRenderedPageBreak/>
        <w:t>28.</w:t>
      </w:r>
      <w:r w:rsidRPr="007F43F8">
        <w:rPr>
          <w:rFonts w:ascii="Times" w:hAnsi="Times"/>
          <w:b/>
          <w:color w:val="FF0000"/>
          <w:sz w:val="18"/>
          <w:szCs w:val="18"/>
        </w:rPr>
        <w:t xml:space="preserve"> </w:t>
      </w:r>
      <w:r w:rsidRPr="007F43F8">
        <w:rPr>
          <w:rFonts w:ascii="Times" w:hAnsi="Times"/>
          <w:sz w:val="18"/>
          <w:szCs w:val="18"/>
        </w:rPr>
        <w:t xml:space="preserve">Agerberg G, Santstorm R. Frequency of occlusal interferences:  A clinical study in teenagers and young adults. </w:t>
      </w:r>
      <w:r w:rsidRPr="007F43F8">
        <w:rPr>
          <w:rFonts w:ascii="Times" w:hAnsi="Times"/>
          <w:i/>
          <w:sz w:val="18"/>
          <w:szCs w:val="18"/>
        </w:rPr>
        <w:t>J Prosth Dent</w:t>
      </w:r>
      <w:r w:rsidRPr="007F43F8">
        <w:rPr>
          <w:rFonts w:ascii="Times" w:hAnsi="Times"/>
          <w:sz w:val="18"/>
          <w:szCs w:val="18"/>
        </w:rPr>
        <w:t xml:space="preserve"> 1988;</w:t>
      </w:r>
      <w:r w:rsidRPr="007F43F8">
        <w:rPr>
          <w:rFonts w:ascii="Times" w:hAnsi="Times"/>
          <w:b/>
          <w:sz w:val="18"/>
          <w:szCs w:val="18"/>
        </w:rPr>
        <w:t>59</w:t>
      </w:r>
      <w:r w:rsidRPr="007F43F8">
        <w:rPr>
          <w:rFonts w:ascii="Times" w:hAnsi="Times"/>
          <w:sz w:val="18"/>
          <w:szCs w:val="18"/>
        </w:rPr>
        <w:t>:212-217.</w:t>
      </w:r>
    </w:p>
    <w:p w14:paraId="116CAE25" w14:textId="77777777" w:rsidR="007F43F8" w:rsidRPr="007F43F8" w:rsidRDefault="007F43F8" w:rsidP="007F43F8">
      <w:pPr>
        <w:widowControl w:val="0"/>
        <w:autoSpaceDE w:val="0"/>
        <w:autoSpaceDN w:val="0"/>
        <w:adjustRightInd w:val="0"/>
        <w:rPr>
          <w:rFonts w:ascii="Times" w:hAnsi="Times"/>
          <w:sz w:val="18"/>
          <w:szCs w:val="18"/>
        </w:rPr>
      </w:pPr>
    </w:p>
    <w:p w14:paraId="11617273"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29.</w:t>
      </w:r>
      <w:r w:rsidRPr="007F43F8">
        <w:rPr>
          <w:rFonts w:ascii="Times" w:hAnsi="Times"/>
          <w:b/>
          <w:color w:val="FF0000"/>
          <w:sz w:val="18"/>
          <w:szCs w:val="18"/>
        </w:rPr>
        <w:t xml:space="preserve"> </w:t>
      </w:r>
      <w:r w:rsidRPr="007F43F8">
        <w:rPr>
          <w:rFonts w:ascii="Times" w:hAnsi="Times"/>
          <w:sz w:val="18"/>
          <w:szCs w:val="18"/>
        </w:rPr>
        <w:t xml:space="preserve">Okeson JP. </w:t>
      </w:r>
      <w:r w:rsidRPr="007F43F8">
        <w:rPr>
          <w:rFonts w:ascii="Times" w:hAnsi="Times"/>
          <w:i/>
          <w:sz w:val="18"/>
          <w:szCs w:val="18"/>
        </w:rPr>
        <w:t>Management of TM Disorders and Occlusion</w:t>
      </w:r>
      <w:r w:rsidRPr="007F43F8">
        <w:rPr>
          <w:rFonts w:ascii="Times" w:hAnsi="Times"/>
          <w:sz w:val="18"/>
          <w:szCs w:val="18"/>
        </w:rPr>
        <w:t>. 3rd Edition, St. Louis, MO: CV Mosby 1993:113.</w:t>
      </w:r>
    </w:p>
    <w:p w14:paraId="62706850" w14:textId="77777777" w:rsidR="007F43F8" w:rsidRPr="007F43F8" w:rsidRDefault="007F43F8" w:rsidP="007F43F8">
      <w:pPr>
        <w:widowControl w:val="0"/>
        <w:autoSpaceDE w:val="0"/>
        <w:autoSpaceDN w:val="0"/>
        <w:adjustRightInd w:val="0"/>
        <w:rPr>
          <w:rFonts w:ascii="Times" w:hAnsi="Times"/>
          <w:sz w:val="18"/>
          <w:szCs w:val="18"/>
        </w:rPr>
      </w:pPr>
    </w:p>
    <w:p w14:paraId="0D5EAA4B"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 xml:space="preserve">30. </w:t>
      </w:r>
      <w:r w:rsidRPr="007F43F8">
        <w:rPr>
          <w:rFonts w:ascii="Times" w:hAnsi="Times"/>
          <w:sz w:val="18"/>
          <w:szCs w:val="18"/>
        </w:rPr>
        <w:t xml:space="preserve">Roth RH. TM pain-dysfunction and occlusal relationships.  </w:t>
      </w:r>
      <w:r w:rsidRPr="007F43F8">
        <w:rPr>
          <w:rFonts w:ascii="Times" w:hAnsi="Times"/>
          <w:i/>
          <w:sz w:val="18"/>
          <w:szCs w:val="18"/>
        </w:rPr>
        <w:t>Angle Orthod</w:t>
      </w:r>
      <w:r w:rsidRPr="007F43F8">
        <w:rPr>
          <w:rFonts w:ascii="Times" w:hAnsi="Times"/>
          <w:sz w:val="18"/>
          <w:szCs w:val="18"/>
        </w:rPr>
        <w:t xml:space="preserve"> 1973;</w:t>
      </w:r>
      <w:r w:rsidRPr="007F43F8">
        <w:rPr>
          <w:rFonts w:ascii="Times" w:hAnsi="Times"/>
          <w:b/>
          <w:sz w:val="18"/>
          <w:szCs w:val="18"/>
        </w:rPr>
        <w:t>43</w:t>
      </w:r>
      <w:r w:rsidRPr="007F43F8">
        <w:rPr>
          <w:rFonts w:ascii="Times" w:hAnsi="Times"/>
          <w:sz w:val="18"/>
          <w:szCs w:val="18"/>
        </w:rPr>
        <w:t>:136-53.</w:t>
      </w:r>
    </w:p>
    <w:p w14:paraId="03B7C1F0" w14:textId="77777777" w:rsidR="007F43F8" w:rsidRPr="007F43F8" w:rsidRDefault="007F43F8" w:rsidP="007F43F8">
      <w:pPr>
        <w:widowControl w:val="0"/>
        <w:autoSpaceDE w:val="0"/>
        <w:autoSpaceDN w:val="0"/>
        <w:adjustRightInd w:val="0"/>
        <w:rPr>
          <w:rFonts w:ascii="Times" w:hAnsi="Times"/>
          <w:sz w:val="18"/>
          <w:szCs w:val="18"/>
        </w:rPr>
      </w:pPr>
    </w:p>
    <w:p w14:paraId="3B97BAA0"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31.</w:t>
      </w:r>
      <w:r w:rsidRPr="007F43F8">
        <w:rPr>
          <w:rFonts w:ascii="Times" w:hAnsi="Times"/>
          <w:b/>
          <w:color w:val="FF0000"/>
          <w:sz w:val="18"/>
          <w:szCs w:val="18"/>
        </w:rPr>
        <w:t xml:space="preserve"> </w:t>
      </w:r>
      <w:r w:rsidRPr="007F43F8">
        <w:rPr>
          <w:rFonts w:ascii="Times" w:hAnsi="Times"/>
          <w:sz w:val="18"/>
          <w:szCs w:val="18"/>
        </w:rPr>
        <w:t xml:space="preserve">Dawson PE. </w:t>
      </w:r>
      <w:r w:rsidRPr="007F43F8">
        <w:rPr>
          <w:rFonts w:ascii="Times" w:hAnsi="Times"/>
          <w:i/>
          <w:sz w:val="18"/>
          <w:szCs w:val="18"/>
        </w:rPr>
        <w:t>Functional Occlusion:  From TMJ to Smile Design</w:t>
      </w:r>
      <w:r w:rsidRPr="007F43F8">
        <w:rPr>
          <w:rFonts w:ascii="Times" w:hAnsi="Times"/>
          <w:sz w:val="18"/>
          <w:szCs w:val="18"/>
        </w:rPr>
        <w:t>.  1</w:t>
      </w:r>
      <w:r w:rsidRPr="007F43F8">
        <w:rPr>
          <w:rFonts w:ascii="Times" w:hAnsi="Times"/>
          <w:sz w:val="18"/>
          <w:szCs w:val="18"/>
          <w:vertAlign w:val="superscript"/>
        </w:rPr>
        <w:t>st</w:t>
      </w:r>
      <w:r w:rsidRPr="007F43F8">
        <w:rPr>
          <w:rFonts w:ascii="Times" w:hAnsi="Times"/>
          <w:sz w:val="18"/>
          <w:szCs w:val="18"/>
        </w:rPr>
        <w:t xml:space="preserve"> Edition, St. Louis, Mo: CV Mosby 2007:48-50,76-96,108,264-275,281,297,352-354,408.     </w:t>
      </w:r>
    </w:p>
    <w:p w14:paraId="46DF6CEF" w14:textId="77777777" w:rsidR="007F43F8" w:rsidRPr="007F43F8" w:rsidRDefault="007F43F8" w:rsidP="007F43F8">
      <w:pPr>
        <w:widowControl w:val="0"/>
        <w:autoSpaceDE w:val="0"/>
        <w:autoSpaceDN w:val="0"/>
        <w:adjustRightInd w:val="0"/>
        <w:rPr>
          <w:rFonts w:ascii="Times" w:hAnsi="Times"/>
          <w:sz w:val="18"/>
          <w:szCs w:val="18"/>
        </w:rPr>
      </w:pPr>
    </w:p>
    <w:p w14:paraId="0462DA61"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32</w:t>
      </w:r>
      <w:r w:rsidRPr="007F43F8">
        <w:rPr>
          <w:rFonts w:ascii="Times" w:hAnsi="Times"/>
          <w:b/>
          <w:color w:val="201CFF"/>
          <w:sz w:val="18"/>
          <w:szCs w:val="18"/>
        </w:rPr>
        <w:t>.</w:t>
      </w:r>
      <w:r w:rsidRPr="007F43F8">
        <w:rPr>
          <w:rFonts w:ascii="Times" w:hAnsi="Times"/>
          <w:b/>
          <w:color w:val="FF0000"/>
          <w:sz w:val="18"/>
          <w:szCs w:val="18"/>
        </w:rPr>
        <w:t xml:space="preserve"> </w:t>
      </w:r>
      <w:r w:rsidRPr="007F43F8">
        <w:rPr>
          <w:rFonts w:ascii="Times" w:hAnsi="Times"/>
          <w:sz w:val="18"/>
          <w:szCs w:val="18"/>
        </w:rPr>
        <w:t xml:space="preserve">Thilander B, Guillermo R, Pena L, Mayorga C. Prevalence of TM dysfunction and its association with malocclusion in children and adolescents: an epidemiologic study related to specified stages of dental development. </w:t>
      </w:r>
      <w:r w:rsidRPr="007F43F8">
        <w:rPr>
          <w:rFonts w:ascii="Times" w:hAnsi="Times"/>
          <w:i/>
          <w:sz w:val="18"/>
          <w:szCs w:val="18"/>
        </w:rPr>
        <w:t xml:space="preserve">Angle Orthod </w:t>
      </w:r>
      <w:r w:rsidRPr="007F43F8">
        <w:rPr>
          <w:rFonts w:ascii="Times" w:hAnsi="Times"/>
          <w:sz w:val="18"/>
          <w:szCs w:val="18"/>
        </w:rPr>
        <w:t>2002;</w:t>
      </w:r>
      <w:r w:rsidRPr="007F43F8">
        <w:rPr>
          <w:rFonts w:ascii="Times" w:hAnsi="Times"/>
          <w:b/>
          <w:sz w:val="18"/>
          <w:szCs w:val="18"/>
        </w:rPr>
        <w:t>72</w:t>
      </w:r>
      <w:r w:rsidRPr="007F43F8">
        <w:rPr>
          <w:rFonts w:ascii="Times" w:hAnsi="Times"/>
          <w:sz w:val="18"/>
          <w:szCs w:val="18"/>
        </w:rPr>
        <w:t>(2):146-154.</w:t>
      </w:r>
    </w:p>
    <w:p w14:paraId="5F606EA3"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11815449" w14:textId="77777777" w:rsidR="007F43F8" w:rsidRPr="007F43F8" w:rsidRDefault="007F43F8" w:rsidP="007F43F8">
      <w:pPr>
        <w:widowControl w:val="0"/>
        <w:autoSpaceDE w:val="0"/>
        <w:autoSpaceDN w:val="0"/>
        <w:adjustRightInd w:val="0"/>
        <w:rPr>
          <w:rFonts w:ascii="Times" w:hAnsi="Times"/>
          <w:b/>
          <w:color w:val="FF0000"/>
          <w:sz w:val="18"/>
          <w:szCs w:val="18"/>
        </w:rPr>
      </w:pPr>
      <w:r w:rsidRPr="007F43F8">
        <w:rPr>
          <w:rFonts w:ascii="Times" w:hAnsi="Times"/>
          <w:color w:val="000006"/>
          <w:sz w:val="18"/>
          <w:szCs w:val="18"/>
        </w:rPr>
        <w:t>33.</w:t>
      </w:r>
      <w:r w:rsidRPr="007F43F8">
        <w:rPr>
          <w:rFonts w:ascii="Times" w:hAnsi="Times"/>
          <w:b/>
          <w:color w:val="FF0000"/>
          <w:sz w:val="18"/>
          <w:szCs w:val="18"/>
        </w:rPr>
        <w:t xml:space="preserve"> </w:t>
      </w:r>
      <w:r w:rsidRPr="007F43F8">
        <w:rPr>
          <w:rFonts w:ascii="Times" w:hAnsi="Times"/>
          <w:sz w:val="18"/>
          <w:szCs w:val="18"/>
        </w:rPr>
        <w:t xml:space="preserve">Droukas B, Lindee C, Carlsson GE, Occlusion and mandibular dysfunction: a clinical study of patients referred for functional disturbances of the masticatory system. </w:t>
      </w:r>
      <w:r w:rsidRPr="007F43F8">
        <w:rPr>
          <w:rFonts w:ascii="Times" w:hAnsi="Times"/>
          <w:i/>
          <w:sz w:val="18"/>
          <w:szCs w:val="18"/>
        </w:rPr>
        <w:t>J Prosth Dent</w:t>
      </w:r>
      <w:r w:rsidRPr="007F43F8">
        <w:rPr>
          <w:rFonts w:ascii="Times" w:hAnsi="Times"/>
          <w:sz w:val="18"/>
          <w:szCs w:val="18"/>
        </w:rPr>
        <w:t xml:space="preserve"> 1985;</w:t>
      </w:r>
      <w:r w:rsidRPr="007F43F8">
        <w:rPr>
          <w:rFonts w:ascii="Times" w:hAnsi="Times"/>
          <w:b/>
          <w:sz w:val="18"/>
          <w:szCs w:val="18"/>
        </w:rPr>
        <w:t>53</w:t>
      </w:r>
      <w:r w:rsidRPr="007F43F8">
        <w:rPr>
          <w:rFonts w:ascii="Times" w:hAnsi="Times"/>
          <w:sz w:val="18"/>
          <w:szCs w:val="18"/>
        </w:rPr>
        <w:t>:402-406.</w:t>
      </w:r>
      <w:r w:rsidRPr="007F43F8">
        <w:rPr>
          <w:rFonts w:ascii="Times" w:hAnsi="Times"/>
          <w:b/>
          <w:color w:val="FF0000"/>
          <w:sz w:val="18"/>
          <w:szCs w:val="18"/>
        </w:rPr>
        <w:t xml:space="preserve"> </w:t>
      </w:r>
    </w:p>
    <w:p w14:paraId="298B2BAB"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5B170CF8"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34.</w:t>
      </w:r>
      <w:r w:rsidRPr="007F43F8">
        <w:rPr>
          <w:rFonts w:ascii="Times" w:hAnsi="Times"/>
          <w:b/>
          <w:color w:val="FF0000"/>
          <w:sz w:val="18"/>
          <w:szCs w:val="18"/>
        </w:rPr>
        <w:t xml:space="preserve"> </w:t>
      </w:r>
      <w:r w:rsidRPr="007F43F8">
        <w:rPr>
          <w:rFonts w:ascii="Times" w:hAnsi="Times"/>
          <w:sz w:val="18"/>
          <w:szCs w:val="18"/>
        </w:rPr>
        <w:t xml:space="preserve">Weffort, SYK, Fantini, SM.  Condylar displacement between centric relation and maximum intercuspation in symptomatic and asymptomatic individuals.  </w:t>
      </w:r>
      <w:r w:rsidRPr="007F43F8">
        <w:rPr>
          <w:rFonts w:ascii="Times" w:hAnsi="Times"/>
          <w:i/>
          <w:sz w:val="18"/>
          <w:szCs w:val="18"/>
        </w:rPr>
        <w:t>Angle Orthod</w:t>
      </w:r>
      <w:r w:rsidRPr="007F43F8">
        <w:rPr>
          <w:rFonts w:ascii="Times" w:hAnsi="Times"/>
          <w:sz w:val="18"/>
          <w:szCs w:val="18"/>
        </w:rPr>
        <w:t xml:space="preserve"> 2010; </w:t>
      </w:r>
      <w:r w:rsidRPr="007F43F8">
        <w:rPr>
          <w:rFonts w:ascii="Times" w:hAnsi="Times"/>
          <w:b/>
          <w:sz w:val="18"/>
          <w:szCs w:val="18"/>
        </w:rPr>
        <w:t>80</w:t>
      </w:r>
      <w:r w:rsidRPr="007F43F8">
        <w:rPr>
          <w:rFonts w:ascii="Times" w:hAnsi="Times"/>
          <w:sz w:val="18"/>
          <w:szCs w:val="18"/>
        </w:rPr>
        <w:t>:5,835-842.</w:t>
      </w:r>
    </w:p>
    <w:p w14:paraId="1E597BBC"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69EC9584"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35.</w:t>
      </w:r>
      <w:r w:rsidRPr="007F43F8">
        <w:rPr>
          <w:rFonts w:ascii="Times" w:hAnsi="Times"/>
          <w:b/>
          <w:color w:val="FF0000"/>
          <w:sz w:val="18"/>
          <w:szCs w:val="18"/>
        </w:rPr>
        <w:t xml:space="preserve"> </w:t>
      </w:r>
      <w:r w:rsidRPr="007F43F8">
        <w:rPr>
          <w:rFonts w:ascii="Times" w:hAnsi="Times"/>
          <w:sz w:val="18"/>
          <w:szCs w:val="18"/>
        </w:rPr>
        <w:t xml:space="preserve">He SS, Deng X, Wamalwa P, Chen S. Correlation between centric relation–maximum intercuspation discrepancy and temporomandibular joint dysfunction. </w:t>
      </w:r>
      <w:r w:rsidRPr="007F43F8">
        <w:rPr>
          <w:rFonts w:ascii="Times" w:hAnsi="Times"/>
          <w:i/>
          <w:sz w:val="18"/>
          <w:szCs w:val="18"/>
        </w:rPr>
        <w:t>Acta Odontologica Scandinavica</w:t>
      </w:r>
      <w:r w:rsidRPr="007F43F8">
        <w:rPr>
          <w:rFonts w:ascii="Times" w:hAnsi="Times"/>
          <w:sz w:val="18"/>
          <w:szCs w:val="18"/>
        </w:rPr>
        <w:t xml:space="preserve">, 2010; </w:t>
      </w:r>
      <w:r w:rsidRPr="007F43F8">
        <w:rPr>
          <w:rFonts w:ascii="Times" w:hAnsi="Times"/>
          <w:b/>
          <w:sz w:val="18"/>
          <w:szCs w:val="18"/>
        </w:rPr>
        <w:t>68</w:t>
      </w:r>
      <w:r w:rsidRPr="007F43F8">
        <w:rPr>
          <w:rFonts w:ascii="Times" w:hAnsi="Times"/>
          <w:sz w:val="18"/>
          <w:szCs w:val="18"/>
        </w:rPr>
        <w:t xml:space="preserve">: 368–376.  </w:t>
      </w:r>
    </w:p>
    <w:p w14:paraId="3430C7F7"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4E740E7E"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36.</w:t>
      </w:r>
      <w:r w:rsidRPr="007F43F8">
        <w:rPr>
          <w:rFonts w:ascii="Times" w:hAnsi="Times"/>
          <w:b/>
          <w:color w:val="419230"/>
          <w:sz w:val="18"/>
          <w:szCs w:val="18"/>
        </w:rPr>
        <w:t xml:space="preserve"> </w:t>
      </w:r>
      <w:r w:rsidRPr="007F43F8">
        <w:rPr>
          <w:rFonts w:ascii="Times" w:hAnsi="Times"/>
          <w:sz w:val="18"/>
          <w:szCs w:val="18"/>
        </w:rPr>
        <w:t xml:space="preserve">Padala S, Padmanabhan S, Chithranjan AB. Comparative evaluation of condylar position in symptomatic (TMJ dysfunction) and asymptomatic individuals. </w:t>
      </w:r>
      <w:r w:rsidRPr="007F43F8">
        <w:rPr>
          <w:rFonts w:ascii="Times" w:hAnsi="Times"/>
          <w:i/>
          <w:sz w:val="18"/>
          <w:szCs w:val="18"/>
        </w:rPr>
        <w:t>Indian J Dent Res</w:t>
      </w:r>
      <w:r w:rsidRPr="007F43F8">
        <w:rPr>
          <w:rFonts w:ascii="Times" w:hAnsi="Times"/>
          <w:sz w:val="18"/>
          <w:szCs w:val="18"/>
        </w:rPr>
        <w:t xml:space="preserve"> 2012;</w:t>
      </w:r>
      <w:r w:rsidRPr="007F43F8">
        <w:rPr>
          <w:rFonts w:ascii="Times" w:hAnsi="Times"/>
          <w:b/>
          <w:sz w:val="18"/>
          <w:szCs w:val="18"/>
        </w:rPr>
        <w:t>23</w:t>
      </w:r>
      <w:r w:rsidRPr="007F43F8">
        <w:rPr>
          <w:rFonts w:ascii="Times" w:hAnsi="Times"/>
          <w:sz w:val="18"/>
          <w:szCs w:val="18"/>
        </w:rPr>
        <w:t>:122-127.</w:t>
      </w:r>
    </w:p>
    <w:p w14:paraId="555CE7B7" w14:textId="77777777" w:rsidR="007F43F8" w:rsidRPr="007F43F8" w:rsidRDefault="007F43F8" w:rsidP="007F43F8">
      <w:pPr>
        <w:widowControl w:val="0"/>
        <w:autoSpaceDE w:val="0"/>
        <w:autoSpaceDN w:val="0"/>
        <w:adjustRightInd w:val="0"/>
        <w:rPr>
          <w:rFonts w:ascii="Times" w:hAnsi="Times"/>
          <w:sz w:val="18"/>
          <w:szCs w:val="18"/>
        </w:rPr>
      </w:pPr>
    </w:p>
    <w:p w14:paraId="68323F8E"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37.</w:t>
      </w:r>
      <w:r w:rsidRPr="007F43F8">
        <w:rPr>
          <w:rFonts w:ascii="Times" w:hAnsi="Times"/>
          <w:b/>
          <w:color w:val="E02E52"/>
          <w:sz w:val="18"/>
          <w:szCs w:val="18"/>
        </w:rPr>
        <w:t xml:space="preserve"> </w:t>
      </w:r>
      <w:r w:rsidRPr="007F43F8">
        <w:rPr>
          <w:rFonts w:ascii="Times" w:hAnsi="Times"/>
          <w:sz w:val="18"/>
          <w:szCs w:val="18"/>
        </w:rPr>
        <w:t xml:space="preserve">Lundeen H. Centric relation records -- the effects of muscle action. </w:t>
      </w:r>
      <w:r w:rsidRPr="007F43F8">
        <w:rPr>
          <w:rFonts w:ascii="Times" w:hAnsi="Times"/>
          <w:i/>
          <w:sz w:val="18"/>
          <w:szCs w:val="18"/>
        </w:rPr>
        <w:t>J Prosth Dent</w:t>
      </w:r>
      <w:r w:rsidRPr="007F43F8">
        <w:rPr>
          <w:rFonts w:ascii="Times" w:hAnsi="Times"/>
          <w:sz w:val="18"/>
          <w:szCs w:val="18"/>
        </w:rPr>
        <w:t xml:space="preserve"> 1972;</w:t>
      </w:r>
      <w:r w:rsidRPr="007F43F8">
        <w:rPr>
          <w:rFonts w:ascii="Times" w:hAnsi="Times"/>
          <w:b/>
          <w:sz w:val="18"/>
          <w:szCs w:val="18"/>
        </w:rPr>
        <w:t>31</w:t>
      </w:r>
      <w:r w:rsidRPr="007F43F8">
        <w:rPr>
          <w:rFonts w:ascii="Times" w:hAnsi="Times"/>
          <w:sz w:val="18"/>
          <w:szCs w:val="18"/>
        </w:rPr>
        <w:t>:244-251.</w:t>
      </w:r>
    </w:p>
    <w:p w14:paraId="6ABD0FE3" w14:textId="77777777" w:rsidR="007F43F8" w:rsidRPr="007F43F8" w:rsidRDefault="007F43F8" w:rsidP="007F43F8">
      <w:pPr>
        <w:widowControl w:val="0"/>
        <w:autoSpaceDE w:val="0"/>
        <w:autoSpaceDN w:val="0"/>
        <w:adjustRightInd w:val="0"/>
        <w:rPr>
          <w:rFonts w:ascii="Times" w:hAnsi="Times"/>
          <w:sz w:val="18"/>
          <w:szCs w:val="18"/>
        </w:rPr>
      </w:pPr>
    </w:p>
    <w:p w14:paraId="7217677B"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38.</w:t>
      </w:r>
      <w:r w:rsidRPr="007F43F8">
        <w:rPr>
          <w:rFonts w:ascii="Times" w:hAnsi="Times"/>
          <w:sz w:val="18"/>
          <w:szCs w:val="18"/>
        </w:rPr>
        <w:t xml:space="preserve"> Teo CS, Wise MD. Comparison of retruded axis articular mountings with and without applied muscular force. </w:t>
      </w:r>
      <w:r w:rsidRPr="007F43F8">
        <w:rPr>
          <w:rFonts w:ascii="Times" w:hAnsi="Times"/>
          <w:i/>
          <w:sz w:val="18"/>
          <w:szCs w:val="18"/>
        </w:rPr>
        <w:t>J Oral Rehab</w:t>
      </w:r>
      <w:r w:rsidRPr="007F43F8">
        <w:rPr>
          <w:rFonts w:ascii="Times" w:hAnsi="Times"/>
          <w:sz w:val="18"/>
          <w:szCs w:val="18"/>
        </w:rPr>
        <w:t xml:space="preserve"> 1981;</w:t>
      </w:r>
      <w:r w:rsidRPr="007F43F8">
        <w:rPr>
          <w:rFonts w:ascii="Times" w:hAnsi="Times"/>
          <w:b/>
          <w:sz w:val="18"/>
          <w:szCs w:val="18"/>
        </w:rPr>
        <w:t>8</w:t>
      </w:r>
      <w:r w:rsidRPr="007F43F8">
        <w:rPr>
          <w:rFonts w:ascii="Times" w:hAnsi="Times"/>
          <w:sz w:val="18"/>
          <w:szCs w:val="18"/>
        </w:rPr>
        <w:t>:363-376.</w:t>
      </w:r>
    </w:p>
    <w:p w14:paraId="06E9C8BB" w14:textId="77777777" w:rsidR="007F43F8" w:rsidRPr="007F43F8" w:rsidRDefault="007F43F8" w:rsidP="007F43F8">
      <w:pPr>
        <w:widowControl w:val="0"/>
        <w:autoSpaceDE w:val="0"/>
        <w:autoSpaceDN w:val="0"/>
        <w:adjustRightInd w:val="0"/>
        <w:rPr>
          <w:rFonts w:ascii="Times" w:hAnsi="Times"/>
          <w:sz w:val="18"/>
          <w:szCs w:val="18"/>
        </w:rPr>
      </w:pPr>
    </w:p>
    <w:p w14:paraId="51C668E7" w14:textId="77777777" w:rsidR="007F43F8" w:rsidRPr="007F43F8" w:rsidRDefault="007F43F8" w:rsidP="007F43F8">
      <w:pPr>
        <w:widowControl w:val="0"/>
        <w:autoSpaceDE w:val="0"/>
        <w:autoSpaceDN w:val="0"/>
        <w:adjustRightInd w:val="0"/>
        <w:rPr>
          <w:rFonts w:ascii="Times" w:hAnsi="Times"/>
          <w:sz w:val="18"/>
          <w:szCs w:val="18"/>
        </w:rPr>
      </w:pPr>
      <w:r w:rsidRPr="007F43F8">
        <w:rPr>
          <w:rFonts w:ascii="Times" w:hAnsi="Times"/>
          <w:color w:val="000006"/>
          <w:sz w:val="18"/>
          <w:szCs w:val="18"/>
        </w:rPr>
        <w:t>39.</w:t>
      </w:r>
      <w:r w:rsidRPr="007F43F8">
        <w:rPr>
          <w:rFonts w:ascii="Times" w:hAnsi="Times"/>
          <w:sz w:val="18"/>
          <w:szCs w:val="18"/>
        </w:rPr>
        <w:t xml:space="preserve"> Lucia VO.  </w:t>
      </w:r>
      <w:r w:rsidRPr="007F43F8">
        <w:rPr>
          <w:rFonts w:ascii="Times" w:hAnsi="Times"/>
          <w:i/>
          <w:sz w:val="18"/>
          <w:szCs w:val="18"/>
        </w:rPr>
        <w:t>Modern Gnathological Concepts Updated</w:t>
      </w:r>
      <w:r w:rsidRPr="007F43F8">
        <w:rPr>
          <w:rFonts w:ascii="Times" w:hAnsi="Times"/>
          <w:sz w:val="18"/>
          <w:szCs w:val="18"/>
        </w:rPr>
        <w:t>. Chicago: Quintessence Publishing, 1983:39-53.</w:t>
      </w:r>
    </w:p>
    <w:p w14:paraId="43B33DE2" w14:textId="77777777" w:rsidR="007F43F8" w:rsidRPr="007F43F8" w:rsidRDefault="007F43F8" w:rsidP="007F43F8">
      <w:pPr>
        <w:widowControl w:val="0"/>
        <w:autoSpaceDE w:val="0"/>
        <w:autoSpaceDN w:val="0"/>
        <w:adjustRightInd w:val="0"/>
        <w:rPr>
          <w:rFonts w:ascii="Times" w:hAnsi="Times"/>
          <w:b/>
          <w:color w:val="FF0000"/>
          <w:sz w:val="18"/>
          <w:szCs w:val="18"/>
        </w:rPr>
      </w:pPr>
    </w:p>
    <w:p w14:paraId="4E59EA62" w14:textId="77777777" w:rsidR="007F43F8" w:rsidRDefault="007F43F8" w:rsidP="007F43F8">
      <w:pPr>
        <w:rPr>
          <w:rFonts w:ascii="Times" w:hAnsi="Times"/>
          <w:sz w:val="18"/>
          <w:szCs w:val="18"/>
        </w:rPr>
      </w:pPr>
      <w:r w:rsidRPr="007F43F8">
        <w:rPr>
          <w:rFonts w:ascii="Times" w:hAnsi="Times"/>
          <w:color w:val="000006"/>
          <w:sz w:val="18"/>
          <w:szCs w:val="18"/>
        </w:rPr>
        <w:t>40.</w:t>
      </w:r>
      <w:r w:rsidRPr="007F43F8">
        <w:rPr>
          <w:rFonts w:ascii="Times" w:hAnsi="Times"/>
          <w:b/>
          <w:color w:val="419230"/>
          <w:sz w:val="18"/>
          <w:szCs w:val="18"/>
        </w:rPr>
        <w:t xml:space="preserve"> </w:t>
      </w:r>
      <w:r w:rsidRPr="007F43F8">
        <w:rPr>
          <w:rFonts w:ascii="Times" w:hAnsi="Times"/>
          <w:sz w:val="18"/>
          <w:szCs w:val="18"/>
        </w:rPr>
        <w:t xml:space="preserve">Fenlon MR, </w:t>
      </w:r>
      <w:r w:rsidRPr="007F43F8">
        <w:rPr>
          <w:rFonts w:ascii="Times" w:hAnsi="Times"/>
          <w:color w:val="000006"/>
          <w:sz w:val="18"/>
          <w:szCs w:val="18"/>
        </w:rPr>
        <w:t xml:space="preserve">Woeffel JB. </w:t>
      </w:r>
      <w:r w:rsidRPr="007F43F8">
        <w:rPr>
          <w:rFonts w:ascii="Times" w:hAnsi="Times"/>
          <w:sz w:val="18"/>
          <w:szCs w:val="18"/>
        </w:rPr>
        <w:t xml:space="preserve">Condylar position recorded using leaf gauges and specific closure forces. </w:t>
      </w:r>
      <w:r w:rsidRPr="007F43F8">
        <w:rPr>
          <w:rFonts w:ascii="Times" w:hAnsi="Times"/>
          <w:i/>
          <w:sz w:val="18"/>
          <w:szCs w:val="18"/>
        </w:rPr>
        <w:t>Intl J Prosth</w:t>
      </w:r>
      <w:r w:rsidRPr="007F43F8">
        <w:rPr>
          <w:rFonts w:ascii="Times" w:hAnsi="Times"/>
          <w:sz w:val="18"/>
          <w:szCs w:val="18"/>
        </w:rPr>
        <w:t xml:space="preserve"> 1993;</w:t>
      </w:r>
      <w:r w:rsidRPr="007F43F8">
        <w:rPr>
          <w:rFonts w:ascii="Times" w:hAnsi="Times"/>
          <w:b/>
          <w:sz w:val="18"/>
          <w:szCs w:val="18"/>
        </w:rPr>
        <w:t>6</w:t>
      </w:r>
      <w:r w:rsidRPr="007F43F8">
        <w:rPr>
          <w:rFonts w:ascii="Times" w:hAnsi="Times"/>
          <w:sz w:val="18"/>
          <w:szCs w:val="18"/>
        </w:rPr>
        <w:t>(4):402-408.</w:t>
      </w:r>
    </w:p>
    <w:p w14:paraId="5C1A79E6" w14:textId="77777777" w:rsidR="00D87162" w:rsidRDefault="00D87162" w:rsidP="007F43F8">
      <w:pPr>
        <w:rPr>
          <w:rFonts w:ascii="Times" w:hAnsi="Times"/>
          <w:sz w:val="18"/>
          <w:szCs w:val="18"/>
        </w:rPr>
      </w:pPr>
    </w:p>
    <w:p w14:paraId="272DC2CF" w14:textId="519FEDB0" w:rsidR="00D87162" w:rsidRPr="00FD540C" w:rsidRDefault="00FD540C" w:rsidP="00D87162">
      <w:pPr>
        <w:numPr>
          <w:ilvl w:val="12"/>
          <w:numId w:val="0"/>
        </w:numPr>
        <w:rPr>
          <w:color w:val="000000"/>
          <w:sz w:val="18"/>
          <w:szCs w:val="18"/>
        </w:rPr>
      </w:pPr>
      <w:r>
        <w:rPr>
          <w:color w:val="000000"/>
          <w:sz w:val="18"/>
          <w:szCs w:val="18"/>
        </w:rPr>
        <w:t>41</w:t>
      </w:r>
      <w:r w:rsidR="00D87162" w:rsidRPr="00FD540C">
        <w:rPr>
          <w:color w:val="000000"/>
          <w:sz w:val="18"/>
          <w:szCs w:val="18"/>
        </w:rPr>
        <w:t>. Greco PM, Vanarsdall RL. An evaluation of anterior temporalis and masseter muscle activity in appliance therapy. Angle Orthod. 1999;69(2):141-146.</w:t>
      </w:r>
    </w:p>
    <w:p w14:paraId="7EC358AC" w14:textId="5BB1A8B3" w:rsidR="00D87162" w:rsidRPr="007F43F8" w:rsidRDefault="00D87162" w:rsidP="007F43F8">
      <w:pPr>
        <w:rPr>
          <w:rFonts w:ascii="Times" w:hAnsi="Times"/>
          <w:b/>
          <w:color w:val="FF0000"/>
          <w:sz w:val="18"/>
          <w:szCs w:val="18"/>
        </w:rPr>
      </w:pPr>
    </w:p>
    <w:p w14:paraId="6A817EED" w14:textId="49A1BED5" w:rsidR="007F43F8" w:rsidRPr="00962E87" w:rsidRDefault="00793BED" w:rsidP="007F43F8">
      <w:pPr>
        <w:pStyle w:val="SOMContent"/>
      </w:pPr>
      <w:r>
        <w:rPr>
          <w:sz w:val="22"/>
        </w:rPr>
        <w:drawing>
          <wp:anchor distT="0" distB="0" distL="114300" distR="114300" simplePos="0" relativeHeight="251659264" behindDoc="0" locked="0" layoutInCell="1" allowOverlap="1" wp14:anchorId="74B6C39C" wp14:editId="10AFE679">
            <wp:simplePos x="0" y="0"/>
            <wp:positionH relativeFrom="margin">
              <wp:posOffset>2421890</wp:posOffset>
            </wp:positionH>
            <wp:positionV relativeFrom="margin">
              <wp:posOffset>5372100</wp:posOffset>
            </wp:positionV>
            <wp:extent cx="3749675" cy="2628900"/>
            <wp:effectExtent l="0" t="0" r="9525" b="12700"/>
            <wp:wrapSquare wrapText="bothSides"/>
            <wp:docPr id="8" name="Picture 8" descr="Description: Cordray Final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ordray Final Fi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96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0" behindDoc="0" locked="0" layoutInCell="1" allowOverlap="1" wp14:anchorId="357614FB" wp14:editId="47D42A80">
            <wp:simplePos x="0" y="0"/>
            <wp:positionH relativeFrom="margin">
              <wp:posOffset>-944245</wp:posOffset>
            </wp:positionH>
            <wp:positionV relativeFrom="margin">
              <wp:posOffset>5372100</wp:posOffset>
            </wp:positionV>
            <wp:extent cx="3292475" cy="2628900"/>
            <wp:effectExtent l="0" t="0" r="952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24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ED8" w:rsidRPr="008B7ED8">
        <w:t xml:space="preserve"> </w:t>
      </w:r>
    </w:p>
    <w:p w14:paraId="04EF3553" w14:textId="1B3728E1" w:rsidR="007F43F8" w:rsidRDefault="007F43F8" w:rsidP="007F43F8">
      <w:pPr>
        <w:pStyle w:val="SOMContent"/>
      </w:pPr>
    </w:p>
    <w:p w14:paraId="67DD61DB" w14:textId="66C770A7" w:rsidR="007F43F8" w:rsidRDefault="007F43F8" w:rsidP="007F43F8">
      <w:pPr>
        <w:pStyle w:val="BodyText"/>
        <w:spacing w:line="480" w:lineRule="auto"/>
        <w:rPr>
          <w:b/>
          <w:sz w:val="20"/>
          <w:u w:val="single"/>
        </w:rPr>
      </w:pPr>
    </w:p>
    <w:p w14:paraId="32FFEAF2" w14:textId="757616E1" w:rsidR="00E574F8" w:rsidRDefault="00E574F8"/>
    <w:sectPr w:rsidR="00E574F8" w:rsidSect="002D7FDC">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3F8"/>
    <w:rsid w:val="000D1157"/>
    <w:rsid w:val="000D5FAF"/>
    <w:rsid w:val="001E2DA9"/>
    <w:rsid w:val="00227E70"/>
    <w:rsid w:val="002D7FDC"/>
    <w:rsid w:val="00375B86"/>
    <w:rsid w:val="004179F6"/>
    <w:rsid w:val="00793BED"/>
    <w:rsid w:val="007F43F8"/>
    <w:rsid w:val="008B7ED8"/>
    <w:rsid w:val="009339BD"/>
    <w:rsid w:val="009B171E"/>
    <w:rsid w:val="00B1268B"/>
    <w:rsid w:val="00CF54EB"/>
    <w:rsid w:val="00D87162"/>
    <w:rsid w:val="00E35B6A"/>
    <w:rsid w:val="00E574F8"/>
    <w:rsid w:val="00E852D8"/>
    <w:rsid w:val="00F21CF6"/>
    <w:rsid w:val="00FD540C"/>
    <w:rsid w:val="00FD7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DEAE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3F8"/>
    <w:rPr>
      <w:rFonts w:ascii="Times New Roman" w:eastAsia="Calibri"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43F8"/>
    <w:pPr>
      <w:tabs>
        <w:tab w:val="center" w:pos="4320"/>
        <w:tab w:val="right" w:pos="8640"/>
      </w:tabs>
    </w:pPr>
    <w:rPr>
      <w:rFonts w:eastAsia="Times New Roman"/>
    </w:rPr>
  </w:style>
  <w:style w:type="character" w:customStyle="1" w:styleId="FooterChar">
    <w:name w:val="Footer Char"/>
    <w:basedOn w:val="DefaultParagraphFont"/>
    <w:link w:val="Footer"/>
    <w:rsid w:val="007F43F8"/>
    <w:rPr>
      <w:rFonts w:ascii="Times New Roman" w:eastAsia="Times New Roman" w:hAnsi="Times New Roman" w:cs="Times New Roman"/>
      <w:noProof/>
      <w:sz w:val="20"/>
      <w:szCs w:val="20"/>
    </w:rPr>
  </w:style>
  <w:style w:type="paragraph" w:styleId="List2">
    <w:name w:val="List 2"/>
    <w:basedOn w:val="Normal"/>
    <w:rsid w:val="007F43F8"/>
    <w:pPr>
      <w:ind w:left="720" w:hanging="360"/>
    </w:pPr>
    <w:rPr>
      <w:rFonts w:ascii="Times" w:eastAsia="Times New Roman" w:hAnsi="Times"/>
      <w:sz w:val="24"/>
    </w:rPr>
  </w:style>
  <w:style w:type="paragraph" w:customStyle="1" w:styleId="SOMContent">
    <w:name w:val="SOMContent"/>
    <w:basedOn w:val="Normal"/>
    <w:rsid w:val="007F43F8"/>
    <w:pPr>
      <w:spacing w:before="120"/>
    </w:pPr>
    <w:rPr>
      <w:rFonts w:eastAsia="Times New Roman"/>
      <w:sz w:val="24"/>
      <w:szCs w:val="24"/>
    </w:rPr>
  </w:style>
  <w:style w:type="paragraph" w:styleId="BodyText">
    <w:name w:val="Body Text"/>
    <w:basedOn w:val="Normal"/>
    <w:link w:val="BodyTextChar"/>
    <w:rsid w:val="007F43F8"/>
    <w:pPr>
      <w:spacing w:after="120"/>
    </w:pPr>
    <w:rPr>
      <w:rFonts w:ascii="Times" w:eastAsia="Times" w:hAnsi="Times"/>
      <w:sz w:val="24"/>
    </w:rPr>
  </w:style>
  <w:style w:type="character" w:customStyle="1" w:styleId="BodyTextChar">
    <w:name w:val="Body Text Char"/>
    <w:basedOn w:val="DefaultParagraphFont"/>
    <w:link w:val="BodyText"/>
    <w:rsid w:val="007F43F8"/>
    <w:rPr>
      <w:rFonts w:ascii="Times" w:eastAsia="Times" w:hAnsi="Times" w:cs="Times New Roman"/>
      <w:noProof/>
      <w:szCs w:val="20"/>
    </w:rPr>
  </w:style>
  <w:style w:type="paragraph" w:styleId="BalloonText">
    <w:name w:val="Balloon Text"/>
    <w:basedOn w:val="Normal"/>
    <w:link w:val="BalloonTextChar"/>
    <w:uiPriority w:val="99"/>
    <w:semiHidden/>
    <w:unhideWhenUsed/>
    <w:rsid w:val="007F4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3F8"/>
    <w:rPr>
      <w:rFonts w:ascii="Lucida Grande" w:eastAsia="Calibri" w:hAnsi="Lucida Grande" w:cs="Lucida Grande"/>
      <w:noProof/>
      <w:sz w:val="18"/>
      <w:szCs w:val="18"/>
    </w:rPr>
  </w:style>
  <w:style w:type="paragraph" w:customStyle="1" w:styleId="Refhead">
    <w:name w:val="Ref head"/>
    <w:basedOn w:val="Normal"/>
    <w:rsid w:val="007F43F8"/>
    <w:pPr>
      <w:keepNext/>
      <w:spacing w:before="120" w:after="120"/>
      <w:outlineLvl w:val="0"/>
    </w:pPr>
    <w:rPr>
      <w:rFonts w:eastAsia="Times New Roman"/>
      <w:b/>
      <w:bCs/>
      <w:kern w:val="28"/>
      <w:sz w:val="24"/>
      <w:szCs w:val="24"/>
    </w:rPr>
  </w:style>
  <w:style w:type="character" w:styleId="HTMLCite">
    <w:name w:val="HTML Cite"/>
    <w:basedOn w:val="DefaultParagraphFont"/>
    <w:uiPriority w:val="99"/>
    <w:semiHidden/>
    <w:unhideWhenUsed/>
    <w:rsid w:val="004179F6"/>
    <w:rPr>
      <w:i/>
      <w:iCs/>
    </w:rPr>
  </w:style>
  <w:style w:type="character" w:customStyle="1" w:styleId="st">
    <w:name w:val="st"/>
    <w:basedOn w:val="DefaultParagraphFont"/>
    <w:rsid w:val="004179F6"/>
  </w:style>
  <w:style w:type="character" w:styleId="Hyperlink">
    <w:name w:val="Hyperlink"/>
    <w:basedOn w:val="DefaultParagraphFont"/>
    <w:uiPriority w:val="99"/>
    <w:unhideWhenUsed/>
    <w:rsid w:val="004179F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3F8"/>
    <w:rPr>
      <w:rFonts w:ascii="Times New Roman" w:eastAsia="Calibri"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F43F8"/>
    <w:pPr>
      <w:tabs>
        <w:tab w:val="center" w:pos="4320"/>
        <w:tab w:val="right" w:pos="8640"/>
      </w:tabs>
    </w:pPr>
    <w:rPr>
      <w:rFonts w:eastAsia="Times New Roman"/>
    </w:rPr>
  </w:style>
  <w:style w:type="character" w:customStyle="1" w:styleId="FooterChar">
    <w:name w:val="Footer Char"/>
    <w:basedOn w:val="DefaultParagraphFont"/>
    <w:link w:val="Footer"/>
    <w:rsid w:val="007F43F8"/>
    <w:rPr>
      <w:rFonts w:ascii="Times New Roman" w:eastAsia="Times New Roman" w:hAnsi="Times New Roman" w:cs="Times New Roman"/>
      <w:noProof/>
      <w:sz w:val="20"/>
      <w:szCs w:val="20"/>
    </w:rPr>
  </w:style>
  <w:style w:type="paragraph" w:styleId="List2">
    <w:name w:val="List 2"/>
    <w:basedOn w:val="Normal"/>
    <w:rsid w:val="007F43F8"/>
    <w:pPr>
      <w:ind w:left="720" w:hanging="360"/>
    </w:pPr>
    <w:rPr>
      <w:rFonts w:ascii="Times" w:eastAsia="Times New Roman" w:hAnsi="Times"/>
      <w:sz w:val="24"/>
    </w:rPr>
  </w:style>
  <w:style w:type="paragraph" w:customStyle="1" w:styleId="SOMContent">
    <w:name w:val="SOMContent"/>
    <w:basedOn w:val="Normal"/>
    <w:rsid w:val="007F43F8"/>
    <w:pPr>
      <w:spacing w:before="120"/>
    </w:pPr>
    <w:rPr>
      <w:rFonts w:eastAsia="Times New Roman"/>
      <w:sz w:val="24"/>
      <w:szCs w:val="24"/>
    </w:rPr>
  </w:style>
  <w:style w:type="paragraph" w:styleId="BodyText">
    <w:name w:val="Body Text"/>
    <w:basedOn w:val="Normal"/>
    <w:link w:val="BodyTextChar"/>
    <w:rsid w:val="007F43F8"/>
    <w:pPr>
      <w:spacing w:after="120"/>
    </w:pPr>
    <w:rPr>
      <w:rFonts w:ascii="Times" w:eastAsia="Times" w:hAnsi="Times"/>
      <w:sz w:val="24"/>
    </w:rPr>
  </w:style>
  <w:style w:type="character" w:customStyle="1" w:styleId="BodyTextChar">
    <w:name w:val="Body Text Char"/>
    <w:basedOn w:val="DefaultParagraphFont"/>
    <w:link w:val="BodyText"/>
    <w:rsid w:val="007F43F8"/>
    <w:rPr>
      <w:rFonts w:ascii="Times" w:eastAsia="Times" w:hAnsi="Times" w:cs="Times New Roman"/>
      <w:noProof/>
      <w:szCs w:val="20"/>
    </w:rPr>
  </w:style>
  <w:style w:type="paragraph" w:styleId="BalloonText">
    <w:name w:val="Balloon Text"/>
    <w:basedOn w:val="Normal"/>
    <w:link w:val="BalloonTextChar"/>
    <w:uiPriority w:val="99"/>
    <w:semiHidden/>
    <w:unhideWhenUsed/>
    <w:rsid w:val="007F43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3F8"/>
    <w:rPr>
      <w:rFonts w:ascii="Lucida Grande" w:eastAsia="Calibri" w:hAnsi="Lucida Grande" w:cs="Lucida Grande"/>
      <w:noProof/>
      <w:sz w:val="18"/>
      <w:szCs w:val="18"/>
    </w:rPr>
  </w:style>
  <w:style w:type="paragraph" w:customStyle="1" w:styleId="Refhead">
    <w:name w:val="Ref head"/>
    <w:basedOn w:val="Normal"/>
    <w:rsid w:val="007F43F8"/>
    <w:pPr>
      <w:keepNext/>
      <w:spacing w:before="120" w:after="120"/>
      <w:outlineLvl w:val="0"/>
    </w:pPr>
    <w:rPr>
      <w:rFonts w:eastAsia="Times New Roman"/>
      <w:b/>
      <w:bCs/>
      <w:kern w:val="28"/>
      <w:sz w:val="24"/>
      <w:szCs w:val="24"/>
    </w:rPr>
  </w:style>
  <w:style w:type="character" w:styleId="HTMLCite">
    <w:name w:val="HTML Cite"/>
    <w:basedOn w:val="DefaultParagraphFont"/>
    <w:uiPriority w:val="99"/>
    <w:semiHidden/>
    <w:unhideWhenUsed/>
    <w:rsid w:val="004179F6"/>
    <w:rPr>
      <w:i/>
      <w:iCs/>
    </w:rPr>
  </w:style>
  <w:style w:type="character" w:customStyle="1" w:styleId="st">
    <w:name w:val="st"/>
    <w:basedOn w:val="DefaultParagraphFont"/>
    <w:rsid w:val="004179F6"/>
  </w:style>
  <w:style w:type="character" w:styleId="Hyperlink">
    <w:name w:val="Hyperlink"/>
    <w:basedOn w:val="DefaultParagraphFont"/>
    <w:uiPriority w:val="99"/>
    <w:unhideWhenUsed/>
    <w:rsid w:val="00417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8630">
      <w:bodyDiv w:val="1"/>
      <w:marLeft w:val="0"/>
      <w:marRight w:val="0"/>
      <w:marTop w:val="0"/>
      <w:marBottom w:val="0"/>
      <w:divBdr>
        <w:top w:val="none" w:sz="0" w:space="0" w:color="auto"/>
        <w:left w:val="none" w:sz="0" w:space="0" w:color="auto"/>
        <w:bottom w:val="none" w:sz="0" w:space="0" w:color="auto"/>
        <w:right w:val="none" w:sz="0" w:space="0" w:color="auto"/>
      </w:divBdr>
      <w:divsChild>
        <w:div w:id="1071343524">
          <w:marLeft w:val="0"/>
          <w:marRight w:val="0"/>
          <w:marTop w:val="0"/>
          <w:marBottom w:val="0"/>
          <w:divBdr>
            <w:top w:val="none" w:sz="0" w:space="0" w:color="auto"/>
            <w:left w:val="none" w:sz="0" w:space="0" w:color="auto"/>
            <w:bottom w:val="none" w:sz="0" w:space="0" w:color="auto"/>
            <w:right w:val="none" w:sz="0" w:space="0" w:color="auto"/>
          </w:divBdr>
          <w:divsChild>
            <w:div w:id="8218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4" Type="http://schemas.openxmlformats.org/officeDocument/2006/relationships/settings" Target="settings.xml"/><Relationship Id="rId10" Type="http://schemas.openxmlformats.org/officeDocument/2006/relationships/theme" Target="theme/theme1.xml"/><Relationship Id="rId5" Type="http://schemas.openxmlformats.org/officeDocument/2006/relationships/webSettings" Target="webSettings.xml"/><Relationship Id="rId7" Type="http://schemas.openxmlformats.org/officeDocument/2006/relationships/image" Target="media/image1.png"/><Relationship Id="rId1" Type="http://schemas.openxmlformats.org/officeDocument/2006/relationships/customXml" Target="../customXml/item1.xml"/><Relationship Id="rId2" Type="http://schemas.openxmlformats.org/officeDocument/2006/relationships/styles" Target="styles.xml"/><Relationship Id="rId9" Type="http://schemas.openxmlformats.org/officeDocument/2006/relationships/fontTable" Target="fontTable.xml"/><Relationship Id="rId3" Type="http://schemas.microsoft.com/office/2007/relationships/stylesWithEffects" Target="stylesWithEffects.xml"/><Relationship Id="rId6" Type="http://schemas.openxmlformats.org/officeDocument/2006/relationships/hyperlink" Target="http://www.del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5C4DD-0275-894D-9F8E-B2430DE5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4849</TotalTime>
  <Pages>5</Pages>
  <Words>1658</Words>
  <Characters>9451</Characters>
  <Application>Microsoft Macintosh Word</Application>
  <DocSecurity>0</DocSecurity>
  <Lines>78</Lines>
  <Paragraphs>22</Paragraphs>
  <ScaleCrop>false</ScaleCrop>
  <Company/>
  <LinksUpToDate>false</LinksUpToDate>
  <CharactersWithSpaces>11087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frankcordray</dc:creator>
  <cp:keywords/>
  <dc:description/>
  <cp:lastModifiedBy>frankcordray</cp:lastModifiedBy>
  <cp:revision>18</cp:revision>
  <cp:lastPrinted>2013-03-18T16:06:00Z</cp:lastPrinted>
  <dcterms:created xsi:type="dcterms:W3CDTF">2013-03-17T15:21:00Z</dcterms:created>
  <dcterms:modified xsi:type="dcterms:W3CDTF">2013-03-27T01:23:00Z</dcterms:modified>
</cp:coreProperties>
</file>